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BEED41">
      <w:pPr>
        <w:spacing w:line="360" w:lineRule="auto"/>
        <w:rPr>
          <w:rFonts w:ascii="黑体" w:eastAsia="黑体"/>
          <w:b/>
          <w:spacing w:val="4"/>
          <w:sz w:val="52"/>
        </w:rPr>
      </w:pPr>
    </w:p>
    <w:p w14:paraId="12060870">
      <w:pPr>
        <w:spacing w:after="156" w:afterLines="50" w:line="360" w:lineRule="auto"/>
        <w:jc w:val="center"/>
        <w:rPr>
          <w:rFonts w:ascii="宋体" w:hAnsi="宋体"/>
          <w:sz w:val="28"/>
          <w:szCs w:val="28"/>
        </w:rPr>
      </w:pPr>
    </w:p>
    <w:p w14:paraId="568168D0">
      <w:pPr>
        <w:spacing w:after="156" w:afterLines="50" w:line="360" w:lineRule="auto"/>
        <w:jc w:val="center"/>
        <w:rPr>
          <w:rFonts w:hint="default" w:ascii="宋体" w:hAnsi="宋体" w:eastAsia="宋体"/>
          <w:color w:val="FF0000"/>
          <w:sz w:val="44"/>
          <w:szCs w:val="44"/>
          <w:lang w:val="en-US" w:eastAsia="zh-CN"/>
        </w:rPr>
      </w:pPr>
      <w:r>
        <w:rPr>
          <w:rFonts w:hint="eastAsia" w:ascii="宋体" w:hAnsi="宋体"/>
          <w:color w:val="000000" w:themeColor="text1"/>
          <w:sz w:val="44"/>
          <w:szCs w:val="44"/>
          <w:lang w:val="en-US" w:eastAsia="zh-CN"/>
          <w14:textFill>
            <w14:solidFill>
              <w14:schemeClr w14:val="tx1"/>
            </w14:solidFill>
          </w14:textFill>
        </w:rPr>
        <w:t>无线网络改造项目</w:t>
      </w:r>
    </w:p>
    <w:p w14:paraId="56B32373">
      <w:pPr>
        <w:spacing w:line="360" w:lineRule="auto"/>
        <w:jc w:val="center"/>
        <w:rPr>
          <w:rFonts w:ascii="仿宋" w:hAnsi="仿宋" w:eastAsia="仿宋"/>
          <w:b/>
          <w:bCs/>
          <w:spacing w:val="60"/>
          <w:sz w:val="48"/>
          <w:szCs w:val="48"/>
        </w:rPr>
      </w:pPr>
    </w:p>
    <w:p w14:paraId="33CF04BC">
      <w:pPr>
        <w:spacing w:line="360" w:lineRule="auto"/>
        <w:jc w:val="center"/>
        <w:rPr>
          <w:rFonts w:ascii="仿宋" w:hAnsi="仿宋" w:eastAsia="仿宋"/>
          <w:b/>
          <w:bCs/>
          <w:spacing w:val="60"/>
          <w:sz w:val="48"/>
          <w:szCs w:val="48"/>
        </w:rPr>
      </w:pPr>
    </w:p>
    <w:p w14:paraId="61C2696F">
      <w:pPr>
        <w:spacing w:line="360" w:lineRule="auto"/>
        <w:jc w:val="center"/>
        <w:rPr>
          <w:rFonts w:ascii="仿宋" w:hAnsi="仿宋" w:eastAsia="仿宋"/>
          <w:b/>
          <w:bCs/>
          <w:spacing w:val="60"/>
          <w:sz w:val="48"/>
          <w:szCs w:val="48"/>
        </w:rPr>
      </w:pPr>
    </w:p>
    <w:p w14:paraId="5E235287">
      <w:pPr>
        <w:spacing w:line="360" w:lineRule="auto"/>
        <w:jc w:val="center"/>
        <w:rPr>
          <w:rFonts w:ascii="仿宋" w:hAnsi="仿宋" w:eastAsia="仿宋"/>
          <w:b/>
          <w:bCs/>
          <w:spacing w:val="60"/>
          <w:sz w:val="48"/>
          <w:szCs w:val="48"/>
        </w:rPr>
      </w:pPr>
      <w:r>
        <w:rPr>
          <w:rFonts w:hint="eastAsia" w:ascii="仿宋" w:hAnsi="仿宋" w:eastAsia="仿宋"/>
          <w:b/>
          <w:bCs/>
          <w:spacing w:val="60"/>
          <w:sz w:val="48"/>
          <w:szCs w:val="48"/>
        </w:rPr>
        <w:t>招标文件</w:t>
      </w:r>
    </w:p>
    <w:p w14:paraId="5893C746">
      <w:pPr>
        <w:ind w:firstLine="2100" w:firstLineChars="750"/>
        <w:rPr>
          <w:rFonts w:ascii="宋体" w:hAnsi="宋体"/>
          <w:sz w:val="28"/>
          <w:szCs w:val="28"/>
        </w:rPr>
      </w:pPr>
    </w:p>
    <w:p w14:paraId="6D9BB6BD">
      <w:pPr>
        <w:rPr>
          <w:rFonts w:ascii="仿宋" w:hAnsi="仿宋" w:eastAsia="仿宋"/>
          <w:sz w:val="36"/>
          <w:szCs w:val="36"/>
        </w:rPr>
      </w:pPr>
      <w:r>
        <w:rPr>
          <w:rFonts w:hint="eastAsia" w:ascii="仿宋" w:hAnsi="仿宋" w:eastAsia="仿宋"/>
          <w:sz w:val="36"/>
          <w:szCs w:val="36"/>
        </w:rPr>
        <w:t xml:space="preserve">         </w:t>
      </w:r>
    </w:p>
    <w:p w14:paraId="2E48D9A7">
      <w:pPr>
        <w:rPr>
          <w:rFonts w:ascii="宋体" w:hAnsi="宋体"/>
          <w:b/>
          <w:sz w:val="36"/>
          <w:szCs w:val="36"/>
        </w:rPr>
      </w:pPr>
    </w:p>
    <w:p w14:paraId="2A535AEA">
      <w:pPr>
        <w:rPr>
          <w:rFonts w:ascii="宋体" w:hAnsi="宋体"/>
          <w:b/>
          <w:sz w:val="24"/>
        </w:rPr>
      </w:pPr>
    </w:p>
    <w:p w14:paraId="44669AF0">
      <w:pPr>
        <w:jc w:val="center"/>
        <w:rPr>
          <w:rFonts w:ascii="宋体" w:hAnsi="宋体"/>
          <w:b/>
          <w:sz w:val="24"/>
        </w:rPr>
      </w:pPr>
    </w:p>
    <w:p w14:paraId="6B4A4514">
      <w:pPr>
        <w:jc w:val="center"/>
        <w:rPr>
          <w:rFonts w:ascii="宋体" w:hAnsi="宋体"/>
          <w:b/>
          <w:sz w:val="24"/>
        </w:rPr>
      </w:pPr>
    </w:p>
    <w:p w14:paraId="6EA39A0F">
      <w:pPr>
        <w:pStyle w:val="44"/>
        <w:rPr>
          <w:sz w:val="28"/>
          <w:szCs w:val="28"/>
        </w:rPr>
      </w:pPr>
    </w:p>
    <w:p w14:paraId="5FFDAF01">
      <w:pPr>
        <w:spacing w:line="480" w:lineRule="auto"/>
        <w:ind w:left="7420" w:leftChars="400" w:hanging="6580" w:hangingChars="2350"/>
        <w:jc w:val="left"/>
        <w:rPr>
          <w:rFonts w:ascii="仿宋_GB2312" w:hAnsi="宋体" w:eastAsia="仿宋_GB2312"/>
          <w:sz w:val="28"/>
          <w:szCs w:val="28"/>
        </w:rPr>
      </w:pPr>
      <w:r>
        <w:rPr>
          <w:rFonts w:hint="eastAsia" w:ascii="仿宋_GB2312" w:hAnsi="宋体" w:eastAsia="仿宋_GB2312"/>
          <w:sz w:val="28"/>
          <w:szCs w:val="28"/>
        </w:rPr>
        <w:t>招标人：</w:t>
      </w:r>
      <w:r>
        <w:rPr>
          <w:rFonts w:hint="eastAsia" w:ascii="宋体" w:hAnsi="宋体"/>
          <w:sz w:val="28"/>
          <w:szCs w:val="28"/>
        </w:rPr>
        <w:t>深圳北京大学香港科技大学医学中心</w:t>
      </w:r>
      <w:r>
        <w:rPr>
          <w:rFonts w:hint="eastAsia" w:ascii="仿宋_GB2312" w:hAnsi="宋体" w:eastAsia="仿宋_GB2312"/>
          <w:sz w:val="28"/>
          <w:szCs w:val="28"/>
        </w:rPr>
        <w:t>（盖章）</w:t>
      </w:r>
    </w:p>
    <w:p w14:paraId="7EFD6712">
      <w:pPr>
        <w:spacing w:line="480" w:lineRule="auto"/>
        <w:ind w:firstLine="840" w:firstLineChars="300"/>
        <w:rPr>
          <w:rFonts w:ascii="仿宋_GB2312" w:hAnsi="宋体" w:eastAsia="仿宋_GB2312"/>
          <w:sz w:val="28"/>
          <w:szCs w:val="28"/>
        </w:rPr>
      </w:pPr>
      <w:r>
        <w:rPr>
          <w:rFonts w:hint="eastAsia" w:ascii="仿宋_GB2312" w:hAnsi="宋体" w:eastAsia="仿宋_GB2312"/>
          <w:sz w:val="28"/>
          <w:szCs w:val="28"/>
        </w:rPr>
        <w:t>日  期： 2025年0</w:t>
      </w:r>
      <w:r>
        <w:rPr>
          <w:rFonts w:hint="eastAsia" w:ascii="仿宋_GB2312" w:hAnsi="宋体" w:eastAsia="仿宋_GB2312"/>
          <w:sz w:val="28"/>
          <w:szCs w:val="28"/>
          <w:lang w:val="en-US" w:eastAsia="zh-CN"/>
        </w:rPr>
        <w:t>7</w:t>
      </w:r>
      <w:r>
        <w:rPr>
          <w:rFonts w:hint="eastAsia" w:ascii="仿宋_GB2312" w:hAnsi="宋体" w:eastAsia="仿宋_GB2312"/>
          <w:sz w:val="28"/>
          <w:szCs w:val="28"/>
        </w:rPr>
        <w:t xml:space="preserve">月 </w:t>
      </w:r>
    </w:p>
    <w:p w14:paraId="571F32BF">
      <w:pPr>
        <w:tabs>
          <w:tab w:val="right" w:leader="middleDot" w:pos="6804"/>
        </w:tabs>
        <w:rPr>
          <w:rFonts w:ascii="宋体" w:hAnsi="宋体"/>
          <w:b/>
          <w:sz w:val="36"/>
        </w:rPr>
      </w:pPr>
    </w:p>
    <w:p w14:paraId="2DE1BED3">
      <w:pPr>
        <w:tabs>
          <w:tab w:val="right" w:leader="middleDot" w:pos="6804"/>
        </w:tabs>
        <w:rPr>
          <w:rFonts w:ascii="宋体" w:hAnsi="宋体"/>
          <w:b/>
          <w:sz w:val="36"/>
        </w:rPr>
      </w:pPr>
    </w:p>
    <w:p w14:paraId="75D62F0A">
      <w:pPr>
        <w:tabs>
          <w:tab w:val="right" w:leader="middleDot" w:pos="6804"/>
        </w:tabs>
        <w:rPr>
          <w:rFonts w:ascii="宋体" w:hAnsi="宋体"/>
          <w:b/>
          <w:sz w:val="36"/>
        </w:rPr>
      </w:pPr>
    </w:p>
    <w:p w14:paraId="638B58F5">
      <w:pPr>
        <w:tabs>
          <w:tab w:val="right" w:leader="middleDot" w:pos="6804"/>
        </w:tabs>
        <w:rPr>
          <w:rFonts w:ascii="宋体" w:hAnsi="宋体"/>
          <w:b/>
          <w:sz w:val="36"/>
        </w:rPr>
      </w:pPr>
    </w:p>
    <w:p w14:paraId="25A23B08">
      <w:pPr>
        <w:tabs>
          <w:tab w:val="right" w:leader="middleDot" w:pos="6804"/>
        </w:tabs>
        <w:spacing w:before="312" w:beforeLines="100" w:after="468" w:afterLines="150"/>
        <w:rPr>
          <w:rFonts w:ascii="宋体" w:hAnsi="宋体"/>
          <w:b/>
          <w:sz w:val="36"/>
        </w:rPr>
      </w:pPr>
    </w:p>
    <w:p w14:paraId="41FE3368">
      <w:pPr>
        <w:tabs>
          <w:tab w:val="right" w:leader="middleDot" w:pos="6804"/>
        </w:tabs>
        <w:spacing w:before="312" w:beforeLines="100" w:after="468" w:afterLines="150"/>
        <w:jc w:val="center"/>
        <w:rPr>
          <w:rFonts w:ascii="宋体" w:hAnsi="宋体"/>
          <w:b/>
          <w:sz w:val="36"/>
        </w:rPr>
      </w:pPr>
      <w:r>
        <w:rPr>
          <w:rFonts w:hint="eastAsia" w:ascii="宋体" w:hAnsi="宋体"/>
          <w:b/>
          <w:sz w:val="36"/>
        </w:rPr>
        <w:t>目    录</w:t>
      </w:r>
    </w:p>
    <w:p w14:paraId="44527F3F">
      <w:pPr>
        <w:pStyle w:val="18"/>
        <w:tabs>
          <w:tab w:val="right" w:leader="dot" w:pos="9017"/>
        </w:tabs>
        <w:spacing w:line="360" w:lineRule="auto"/>
        <w:rPr>
          <w:rFonts w:ascii="宋体" w:hAnsi="宋体"/>
          <w:sz w:val="28"/>
          <w:szCs w:val="28"/>
        </w:rPr>
      </w:pPr>
      <w:r>
        <w:rPr>
          <w:sz w:val="24"/>
        </w:rPr>
        <w:fldChar w:fldCharType="begin"/>
      </w:r>
      <w:r>
        <w:rPr>
          <w:rFonts w:hint="eastAsia"/>
          <w:sz w:val="24"/>
        </w:rPr>
        <w:instrText xml:space="preserve">TOC \o "1-3" \h \z \u</w:instrText>
      </w:r>
      <w:r>
        <w:rPr>
          <w:sz w:val="24"/>
        </w:rPr>
        <w:fldChar w:fldCharType="separate"/>
      </w:r>
      <w:r>
        <w:fldChar w:fldCharType="begin"/>
      </w:r>
      <w:r>
        <w:instrText xml:space="preserve"> HYPERLINK \l "_Toc391973357" </w:instrText>
      </w:r>
      <w:r>
        <w:fldChar w:fldCharType="separate"/>
      </w:r>
      <w:r>
        <w:rPr>
          <w:rStyle w:val="32"/>
          <w:rFonts w:hint="eastAsia" w:ascii="宋体" w:hAnsi="宋体"/>
          <w:b/>
          <w:color w:val="auto"/>
          <w:sz w:val="28"/>
          <w:szCs w:val="28"/>
        </w:rPr>
        <w:t>第一章投标须知</w:t>
      </w:r>
      <w:r>
        <w:rPr>
          <w:rStyle w:val="32"/>
          <w:rFonts w:hint="eastAsia" w:ascii="宋体" w:hAnsi="宋体"/>
          <w:b/>
          <w:color w:val="auto"/>
          <w:sz w:val="28"/>
          <w:szCs w:val="28"/>
        </w:rPr>
        <w:fldChar w:fldCharType="end"/>
      </w:r>
    </w:p>
    <w:p w14:paraId="3F0EC1B4">
      <w:pPr>
        <w:pStyle w:val="18"/>
        <w:tabs>
          <w:tab w:val="right" w:leader="dot" w:pos="9017"/>
        </w:tabs>
        <w:spacing w:line="360" w:lineRule="auto"/>
        <w:rPr>
          <w:sz w:val="24"/>
          <w:szCs w:val="24"/>
        </w:rPr>
      </w:pPr>
      <w:r>
        <w:rPr>
          <w:rFonts w:hint="eastAsia"/>
          <w:sz w:val="24"/>
          <w:szCs w:val="24"/>
        </w:rPr>
        <w:t>1.  总则</w:t>
      </w:r>
    </w:p>
    <w:p w14:paraId="1A1747C0">
      <w:pPr>
        <w:spacing w:line="360" w:lineRule="auto"/>
        <w:rPr>
          <w:sz w:val="24"/>
          <w:szCs w:val="24"/>
        </w:rPr>
      </w:pPr>
      <w:r>
        <w:rPr>
          <w:rFonts w:hint="eastAsia"/>
          <w:sz w:val="24"/>
          <w:szCs w:val="24"/>
        </w:rPr>
        <w:t>2.  投标文件的编制与密封</w:t>
      </w:r>
    </w:p>
    <w:p w14:paraId="09798CFD">
      <w:pPr>
        <w:spacing w:line="360" w:lineRule="auto"/>
        <w:rPr>
          <w:sz w:val="24"/>
          <w:szCs w:val="24"/>
        </w:rPr>
      </w:pPr>
      <w:r>
        <w:rPr>
          <w:rFonts w:hint="eastAsia"/>
          <w:sz w:val="24"/>
          <w:szCs w:val="24"/>
        </w:rPr>
        <w:t>3.  合同签署及费用支付</w:t>
      </w:r>
    </w:p>
    <w:p w14:paraId="746FA755">
      <w:pPr>
        <w:spacing w:line="360" w:lineRule="auto"/>
        <w:rPr>
          <w:sz w:val="24"/>
          <w:szCs w:val="24"/>
        </w:rPr>
      </w:pPr>
      <w:r>
        <w:rPr>
          <w:rFonts w:hint="eastAsia"/>
          <w:sz w:val="24"/>
          <w:szCs w:val="24"/>
        </w:rPr>
        <w:t>4.  验收与保修</w:t>
      </w:r>
    </w:p>
    <w:p w14:paraId="42F1BE47">
      <w:pPr>
        <w:spacing w:line="360" w:lineRule="auto"/>
        <w:rPr>
          <w:sz w:val="24"/>
          <w:szCs w:val="24"/>
        </w:rPr>
      </w:pPr>
      <w:r>
        <w:rPr>
          <w:rFonts w:hint="eastAsia"/>
          <w:sz w:val="24"/>
          <w:szCs w:val="24"/>
        </w:rPr>
        <w:t>5</w:t>
      </w:r>
      <w:r>
        <w:rPr>
          <w:sz w:val="24"/>
          <w:szCs w:val="24"/>
        </w:rPr>
        <w:t xml:space="preserve">.  </w:t>
      </w:r>
      <w:r>
        <w:rPr>
          <w:rFonts w:hint="eastAsia"/>
          <w:sz w:val="24"/>
          <w:szCs w:val="24"/>
        </w:rPr>
        <w:t>招投标廉政警示栏信息</w:t>
      </w:r>
    </w:p>
    <w:p w14:paraId="55C084EC">
      <w:pPr>
        <w:spacing w:line="360" w:lineRule="auto"/>
        <w:rPr>
          <w:sz w:val="24"/>
          <w:szCs w:val="24"/>
        </w:rPr>
      </w:pPr>
      <w:r>
        <w:rPr>
          <w:sz w:val="24"/>
          <w:szCs w:val="24"/>
        </w:rPr>
        <w:t xml:space="preserve">6.  </w:t>
      </w:r>
      <w:r>
        <w:rPr>
          <w:rFonts w:hint="eastAsia"/>
          <w:sz w:val="24"/>
          <w:szCs w:val="24"/>
        </w:rPr>
        <w:t>评分标准</w:t>
      </w:r>
    </w:p>
    <w:p w14:paraId="1C6DD6F1">
      <w:pPr>
        <w:spacing w:line="360" w:lineRule="auto"/>
        <w:rPr>
          <w:sz w:val="24"/>
          <w:szCs w:val="24"/>
        </w:rPr>
      </w:pPr>
      <w:r>
        <w:rPr>
          <w:sz w:val="24"/>
          <w:szCs w:val="24"/>
        </w:rPr>
        <w:t>7.</w:t>
      </w:r>
      <w:r>
        <w:rPr>
          <w:rFonts w:hint="eastAsia"/>
          <w:sz w:val="24"/>
          <w:szCs w:val="24"/>
        </w:rPr>
        <w:t xml:space="preserve">  其他</w:t>
      </w:r>
    </w:p>
    <w:p w14:paraId="6B348522">
      <w:pPr>
        <w:pStyle w:val="18"/>
        <w:tabs>
          <w:tab w:val="right" w:leader="dot" w:pos="9017"/>
        </w:tabs>
        <w:spacing w:line="360" w:lineRule="auto"/>
        <w:rPr>
          <w:b/>
        </w:rPr>
      </w:pPr>
      <w:r>
        <w:fldChar w:fldCharType="begin"/>
      </w:r>
      <w:r>
        <w:instrText xml:space="preserve"> HYPERLINK \l "_Toc391973358" </w:instrText>
      </w:r>
      <w:r>
        <w:fldChar w:fldCharType="separate"/>
      </w:r>
      <w:r>
        <w:rPr>
          <w:rStyle w:val="32"/>
          <w:rFonts w:hint="eastAsia" w:ascii="宋体" w:hAnsi="宋体"/>
          <w:b/>
          <w:color w:val="auto"/>
          <w:sz w:val="28"/>
          <w:szCs w:val="28"/>
        </w:rPr>
        <w:t>第二章附件</w:t>
      </w:r>
      <w:r>
        <w:rPr>
          <w:rStyle w:val="32"/>
          <w:rFonts w:hint="eastAsia" w:ascii="宋体" w:hAnsi="宋体"/>
          <w:b/>
          <w:color w:val="auto"/>
          <w:sz w:val="28"/>
          <w:szCs w:val="28"/>
        </w:rPr>
        <w:fldChar w:fldCharType="end"/>
      </w:r>
    </w:p>
    <w:p w14:paraId="652CE6EF">
      <w:pPr>
        <w:spacing w:line="360" w:lineRule="auto"/>
        <w:rPr>
          <w:sz w:val="24"/>
          <w:szCs w:val="24"/>
        </w:rPr>
      </w:pPr>
      <w:r>
        <w:rPr>
          <w:rFonts w:hint="eastAsia"/>
          <w:sz w:val="24"/>
          <w:szCs w:val="24"/>
        </w:rPr>
        <w:t>附件1：投标书</w:t>
      </w:r>
    </w:p>
    <w:p w14:paraId="28E727A6">
      <w:pPr>
        <w:spacing w:line="360" w:lineRule="auto"/>
        <w:rPr>
          <w:sz w:val="24"/>
          <w:szCs w:val="24"/>
        </w:rPr>
      </w:pPr>
      <w:r>
        <w:rPr>
          <w:rFonts w:hint="eastAsia"/>
          <w:sz w:val="24"/>
          <w:szCs w:val="24"/>
        </w:rPr>
        <w:t>附件2：辅助资料表</w:t>
      </w:r>
    </w:p>
    <w:p w14:paraId="5AD3D176">
      <w:pPr>
        <w:pStyle w:val="18"/>
        <w:tabs>
          <w:tab w:val="right" w:leader="dot" w:pos="9017"/>
        </w:tabs>
        <w:spacing w:line="360" w:lineRule="auto"/>
        <w:rPr>
          <w:rFonts w:hint="eastAsia"/>
          <w:sz w:val="24"/>
          <w:lang w:val="en-US" w:eastAsia="zh-CN"/>
        </w:rPr>
      </w:pPr>
      <w:r>
        <w:rPr>
          <w:sz w:val="24"/>
          <w:szCs w:val="24"/>
        </w:rPr>
        <w:t>附件</w:t>
      </w:r>
      <w:r>
        <w:rPr>
          <w:rFonts w:hint="eastAsia"/>
          <w:sz w:val="24"/>
          <w:szCs w:val="24"/>
        </w:rPr>
        <w:t>3</w:t>
      </w:r>
      <w:r>
        <w:rPr>
          <w:sz w:val="24"/>
          <w:szCs w:val="24"/>
        </w:rPr>
        <w:t>：</w:t>
      </w:r>
      <w:r>
        <w:rPr>
          <w:rFonts w:hint="eastAsia"/>
          <w:sz w:val="24"/>
          <w:lang w:val="en-US" w:eastAsia="zh-CN"/>
        </w:rPr>
        <w:t>项目技术参数</w:t>
      </w:r>
    </w:p>
    <w:p w14:paraId="3E56EC90">
      <w:pPr>
        <w:rPr>
          <w:rFonts w:hint="default"/>
          <w:lang w:val="en-US" w:eastAsia="zh-CN"/>
        </w:rPr>
      </w:pPr>
      <w:r>
        <w:rPr>
          <w:rFonts w:hint="eastAsia"/>
          <w:sz w:val="24"/>
          <w:lang w:val="en-US" w:eastAsia="zh-CN"/>
        </w:rPr>
        <w:t>附件4：售后服务响应</w:t>
      </w:r>
    </w:p>
    <w:p w14:paraId="22F2458E">
      <w:pPr>
        <w:tabs>
          <w:tab w:val="right" w:leader="dot" w:pos="7980"/>
        </w:tabs>
        <w:spacing w:line="360" w:lineRule="auto"/>
        <w:rPr>
          <w:sz w:val="24"/>
        </w:rPr>
      </w:pPr>
      <w:r>
        <w:rPr>
          <w:sz w:val="24"/>
        </w:rPr>
        <w:fldChar w:fldCharType="end"/>
      </w:r>
      <w:r>
        <w:rPr>
          <w:sz w:val="24"/>
        </w:rPr>
        <w:t xml:space="preserve"> </w:t>
      </w:r>
    </w:p>
    <w:p w14:paraId="5F932DAE">
      <w:pPr>
        <w:pStyle w:val="24"/>
      </w:pPr>
      <w:r>
        <w:rPr>
          <w:sz w:val="24"/>
          <w:szCs w:val="24"/>
        </w:rPr>
        <w:br w:type="page"/>
      </w:r>
      <w:bookmarkStart w:id="0" w:name="_Toc391973357"/>
      <w:r>
        <w:rPr>
          <w:rFonts w:hint="eastAsia"/>
        </w:rPr>
        <w:t>第一章  投 标 须 知</w:t>
      </w:r>
      <w:bookmarkEnd w:id="0"/>
    </w:p>
    <w:p w14:paraId="51763C71">
      <w:pPr>
        <w:spacing w:line="500" w:lineRule="exact"/>
        <w:rPr>
          <w:sz w:val="24"/>
          <w:szCs w:val="24"/>
        </w:rPr>
      </w:pPr>
      <w:r>
        <w:rPr>
          <w:rFonts w:hint="eastAsia"/>
          <w:sz w:val="24"/>
          <w:szCs w:val="24"/>
        </w:rPr>
        <w:t>投标须知前附表：</w:t>
      </w:r>
    </w:p>
    <w:tbl>
      <w:tblPr>
        <w:tblStyle w:val="26"/>
        <w:tblW w:w="94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728"/>
        <w:gridCol w:w="7020"/>
      </w:tblGrid>
      <w:tr w14:paraId="0F0FD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20" w:type="dxa"/>
            <w:tcBorders>
              <w:top w:val="single" w:color="auto" w:sz="12" w:space="0"/>
              <w:left w:val="single" w:color="auto" w:sz="12" w:space="0"/>
              <w:bottom w:val="single" w:color="auto" w:sz="12" w:space="0"/>
              <w:right w:val="single" w:color="auto" w:sz="4" w:space="0"/>
            </w:tcBorders>
            <w:vAlign w:val="center"/>
          </w:tcPr>
          <w:p w14:paraId="772733F3">
            <w:pPr>
              <w:spacing w:line="500" w:lineRule="exact"/>
              <w:jc w:val="center"/>
              <w:rPr>
                <w:szCs w:val="21"/>
              </w:rPr>
            </w:pPr>
            <w:r>
              <w:rPr>
                <w:rFonts w:hint="eastAsia"/>
                <w:szCs w:val="21"/>
              </w:rPr>
              <w:t>序号</w:t>
            </w:r>
          </w:p>
        </w:tc>
        <w:tc>
          <w:tcPr>
            <w:tcW w:w="1728" w:type="dxa"/>
            <w:tcBorders>
              <w:top w:val="single" w:color="auto" w:sz="12" w:space="0"/>
              <w:left w:val="single" w:color="auto" w:sz="4" w:space="0"/>
              <w:bottom w:val="single" w:color="auto" w:sz="12" w:space="0"/>
              <w:right w:val="single" w:color="auto" w:sz="4" w:space="0"/>
            </w:tcBorders>
            <w:vAlign w:val="center"/>
          </w:tcPr>
          <w:p w14:paraId="3AAB0A37">
            <w:pPr>
              <w:spacing w:line="500" w:lineRule="exact"/>
              <w:jc w:val="center"/>
              <w:rPr>
                <w:szCs w:val="21"/>
              </w:rPr>
            </w:pPr>
            <w:r>
              <w:rPr>
                <w:rFonts w:hint="eastAsia"/>
                <w:szCs w:val="21"/>
              </w:rPr>
              <w:t>项目</w:t>
            </w:r>
          </w:p>
        </w:tc>
        <w:tc>
          <w:tcPr>
            <w:tcW w:w="7020" w:type="dxa"/>
            <w:tcBorders>
              <w:top w:val="single" w:color="auto" w:sz="12" w:space="0"/>
              <w:left w:val="single" w:color="auto" w:sz="4" w:space="0"/>
              <w:bottom w:val="single" w:color="auto" w:sz="12" w:space="0"/>
              <w:right w:val="single" w:color="auto" w:sz="12" w:space="0"/>
            </w:tcBorders>
            <w:vAlign w:val="center"/>
          </w:tcPr>
          <w:p w14:paraId="75E6A9B3">
            <w:pPr>
              <w:spacing w:line="500" w:lineRule="exact"/>
              <w:jc w:val="center"/>
              <w:rPr>
                <w:szCs w:val="21"/>
              </w:rPr>
            </w:pPr>
            <w:r>
              <w:rPr>
                <w:rFonts w:hint="eastAsia"/>
                <w:szCs w:val="21"/>
              </w:rPr>
              <w:t>内容</w:t>
            </w:r>
          </w:p>
        </w:tc>
      </w:tr>
      <w:tr w14:paraId="06EFD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20" w:type="dxa"/>
            <w:tcBorders>
              <w:top w:val="single" w:color="auto" w:sz="12" w:space="0"/>
              <w:left w:val="single" w:color="auto" w:sz="12" w:space="0"/>
              <w:bottom w:val="single" w:color="auto" w:sz="4" w:space="0"/>
              <w:right w:val="single" w:color="auto" w:sz="4" w:space="0"/>
            </w:tcBorders>
            <w:vAlign w:val="center"/>
          </w:tcPr>
          <w:p w14:paraId="6273610B">
            <w:pPr>
              <w:spacing w:line="500" w:lineRule="exact"/>
              <w:jc w:val="center"/>
              <w:rPr>
                <w:szCs w:val="21"/>
              </w:rPr>
            </w:pPr>
            <w:r>
              <w:rPr>
                <w:szCs w:val="21"/>
              </w:rPr>
              <w:t>1</w:t>
            </w:r>
          </w:p>
        </w:tc>
        <w:tc>
          <w:tcPr>
            <w:tcW w:w="1728" w:type="dxa"/>
            <w:tcBorders>
              <w:top w:val="single" w:color="auto" w:sz="12" w:space="0"/>
              <w:left w:val="single" w:color="auto" w:sz="4" w:space="0"/>
              <w:bottom w:val="single" w:color="auto" w:sz="4" w:space="0"/>
              <w:right w:val="single" w:color="auto" w:sz="4" w:space="0"/>
            </w:tcBorders>
            <w:vAlign w:val="center"/>
          </w:tcPr>
          <w:p w14:paraId="74283CA8">
            <w:pPr>
              <w:spacing w:line="500" w:lineRule="exact"/>
              <w:jc w:val="center"/>
              <w:rPr>
                <w:szCs w:val="21"/>
              </w:rPr>
            </w:pPr>
            <w:r>
              <w:rPr>
                <w:rFonts w:hint="eastAsia"/>
                <w:szCs w:val="21"/>
              </w:rPr>
              <w:t>项目名称</w:t>
            </w:r>
          </w:p>
        </w:tc>
        <w:tc>
          <w:tcPr>
            <w:tcW w:w="7020" w:type="dxa"/>
            <w:tcBorders>
              <w:top w:val="single" w:color="auto" w:sz="12" w:space="0"/>
              <w:left w:val="single" w:color="auto" w:sz="4" w:space="0"/>
              <w:bottom w:val="single" w:color="auto" w:sz="4" w:space="0"/>
              <w:right w:val="single" w:color="auto" w:sz="12" w:space="0"/>
            </w:tcBorders>
            <w:vAlign w:val="center"/>
          </w:tcPr>
          <w:p w14:paraId="7C44D6A3">
            <w:pPr>
              <w:spacing w:line="500" w:lineRule="exact"/>
              <w:jc w:val="left"/>
              <w:rPr>
                <w:rFonts w:hint="default" w:eastAsia="宋体"/>
                <w:szCs w:val="21"/>
                <w:lang w:val="en-US" w:eastAsia="zh-CN"/>
              </w:rPr>
            </w:pPr>
            <w:r>
              <w:rPr>
                <w:rFonts w:hint="eastAsia"/>
                <w:lang w:val="en-US" w:eastAsia="zh-CN"/>
              </w:rPr>
              <w:t>无线网络改造项目</w:t>
            </w:r>
          </w:p>
        </w:tc>
      </w:tr>
      <w:tr w14:paraId="638CC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trPr>
        <w:tc>
          <w:tcPr>
            <w:tcW w:w="720" w:type="dxa"/>
            <w:tcBorders>
              <w:top w:val="single" w:color="auto" w:sz="4" w:space="0"/>
              <w:left w:val="single" w:color="auto" w:sz="12" w:space="0"/>
              <w:bottom w:val="single" w:color="auto" w:sz="4" w:space="0"/>
              <w:right w:val="single" w:color="auto" w:sz="4" w:space="0"/>
            </w:tcBorders>
            <w:vAlign w:val="center"/>
          </w:tcPr>
          <w:p w14:paraId="59E294FD">
            <w:pPr>
              <w:spacing w:line="500" w:lineRule="exact"/>
              <w:jc w:val="center"/>
              <w:rPr>
                <w:szCs w:val="21"/>
              </w:rPr>
            </w:pPr>
            <w:r>
              <w:rPr>
                <w:rFonts w:hint="eastAsia"/>
                <w:szCs w:val="21"/>
              </w:rPr>
              <w:t>2</w:t>
            </w:r>
          </w:p>
        </w:tc>
        <w:tc>
          <w:tcPr>
            <w:tcW w:w="1728" w:type="dxa"/>
            <w:tcBorders>
              <w:top w:val="single" w:color="auto" w:sz="4" w:space="0"/>
              <w:left w:val="single" w:color="auto" w:sz="4" w:space="0"/>
              <w:bottom w:val="single" w:color="auto" w:sz="4" w:space="0"/>
              <w:right w:val="single" w:color="auto" w:sz="4" w:space="0"/>
            </w:tcBorders>
            <w:vAlign w:val="center"/>
          </w:tcPr>
          <w:p w14:paraId="73438FBD">
            <w:pPr>
              <w:spacing w:line="500" w:lineRule="exact"/>
              <w:jc w:val="center"/>
              <w:rPr>
                <w:szCs w:val="21"/>
              </w:rPr>
            </w:pPr>
            <w:r>
              <w:rPr>
                <w:rFonts w:hint="eastAsia" w:ascii="宋体" w:hAnsi="宋体"/>
                <w:szCs w:val="21"/>
              </w:rPr>
              <w:t>建设规模</w:t>
            </w:r>
          </w:p>
        </w:tc>
        <w:tc>
          <w:tcPr>
            <w:tcW w:w="7020" w:type="dxa"/>
            <w:tcBorders>
              <w:top w:val="single" w:color="auto" w:sz="4" w:space="0"/>
              <w:left w:val="single" w:color="auto" w:sz="4" w:space="0"/>
              <w:bottom w:val="single" w:color="auto" w:sz="4" w:space="0"/>
              <w:right w:val="single" w:color="auto" w:sz="12" w:space="0"/>
            </w:tcBorders>
            <w:vAlign w:val="center"/>
          </w:tcPr>
          <w:p w14:paraId="383FEFEF">
            <w:pPr>
              <w:spacing w:line="500" w:lineRule="exact"/>
              <w:jc w:val="left"/>
              <w:rPr>
                <w:szCs w:val="21"/>
              </w:rPr>
            </w:pPr>
            <w:r>
              <w:rPr>
                <w:rFonts w:hint="eastAsia"/>
                <w:szCs w:val="21"/>
              </w:rPr>
              <w:t>/</w:t>
            </w:r>
          </w:p>
        </w:tc>
      </w:tr>
      <w:tr w14:paraId="6FBA2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720" w:type="dxa"/>
            <w:tcBorders>
              <w:top w:val="single" w:color="auto" w:sz="4" w:space="0"/>
              <w:left w:val="single" w:color="auto" w:sz="12" w:space="0"/>
              <w:bottom w:val="single" w:color="auto" w:sz="4" w:space="0"/>
              <w:right w:val="single" w:color="auto" w:sz="4" w:space="0"/>
            </w:tcBorders>
            <w:vAlign w:val="center"/>
          </w:tcPr>
          <w:p w14:paraId="6C096013">
            <w:pPr>
              <w:spacing w:line="500" w:lineRule="exact"/>
              <w:jc w:val="center"/>
              <w:rPr>
                <w:szCs w:val="21"/>
              </w:rPr>
            </w:pPr>
            <w:r>
              <w:rPr>
                <w:rFonts w:hint="eastAsia"/>
                <w:szCs w:val="21"/>
              </w:rPr>
              <w:t>3</w:t>
            </w:r>
          </w:p>
        </w:tc>
        <w:tc>
          <w:tcPr>
            <w:tcW w:w="1728" w:type="dxa"/>
            <w:tcBorders>
              <w:top w:val="single" w:color="auto" w:sz="4" w:space="0"/>
              <w:left w:val="single" w:color="auto" w:sz="4" w:space="0"/>
              <w:bottom w:val="single" w:color="auto" w:sz="4" w:space="0"/>
              <w:right w:val="single" w:color="auto" w:sz="4" w:space="0"/>
            </w:tcBorders>
            <w:vAlign w:val="center"/>
          </w:tcPr>
          <w:p w14:paraId="4B5D6C85">
            <w:pPr>
              <w:spacing w:line="500" w:lineRule="exact"/>
              <w:jc w:val="center"/>
              <w:rPr>
                <w:szCs w:val="21"/>
              </w:rPr>
            </w:pPr>
            <w:r>
              <w:rPr>
                <w:rFonts w:hint="eastAsia"/>
                <w:szCs w:val="21"/>
              </w:rPr>
              <w:t>投标资质要求</w:t>
            </w:r>
          </w:p>
        </w:tc>
        <w:tc>
          <w:tcPr>
            <w:tcW w:w="7020" w:type="dxa"/>
            <w:tcBorders>
              <w:top w:val="single" w:color="auto" w:sz="4" w:space="0"/>
              <w:left w:val="single" w:color="auto" w:sz="4" w:space="0"/>
              <w:bottom w:val="single" w:color="auto" w:sz="4" w:space="0"/>
              <w:right w:val="single" w:color="auto" w:sz="12" w:space="0"/>
            </w:tcBorders>
            <w:vAlign w:val="center"/>
          </w:tcPr>
          <w:p w14:paraId="5B583E1A">
            <w:pPr>
              <w:spacing w:line="360" w:lineRule="auto"/>
              <w:jc w:val="left"/>
              <w:rPr>
                <w:szCs w:val="21"/>
              </w:rPr>
            </w:pPr>
            <w:r>
              <w:rPr>
                <w:rFonts w:hint="eastAsia"/>
                <w:szCs w:val="21"/>
              </w:rPr>
              <w:t>1、具有独立法人资格，企业经营状况、商业信誉和财务信用良好；</w:t>
            </w:r>
          </w:p>
          <w:p w14:paraId="482D2AB8">
            <w:pPr>
              <w:spacing w:line="360" w:lineRule="auto"/>
              <w:jc w:val="left"/>
              <w:rPr>
                <w:szCs w:val="21"/>
              </w:rPr>
            </w:pPr>
            <w:r>
              <w:rPr>
                <w:rFonts w:hint="eastAsia"/>
                <w:szCs w:val="21"/>
              </w:rPr>
              <w:t>2、具有完善的质量保证体系。</w:t>
            </w:r>
          </w:p>
        </w:tc>
      </w:tr>
      <w:tr w14:paraId="079F8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20" w:type="dxa"/>
            <w:tcBorders>
              <w:top w:val="single" w:color="auto" w:sz="4" w:space="0"/>
              <w:left w:val="single" w:color="auto" w:sz="12" w:space="0"/>
              <w:bottom w:val="single" w:color="auto" w:sz="4" w:space="0"/>
              <w:right w:val="single" w:color="auto" w:sz="4" w:space="0"/>
            </w:tcBorders>
            <w:vAlign w:val="center"/>
          </w:tcPr>
          <w:p w14:paraId="3F082038">
            <w:pPr>
              <w:spacing w:line="500" w:lineRule="exact"/>
              <w:jc w:val="center"/>
              <w:rPr>
                <w:szCs w:val="21"/>
              </w:rPr>
            </w:pPr>
            <w:r>
              <w:rPr>
                <w:rFonts w:hint="eastAsia"/>
                <w:szCs w:val="21"/>
              </w:rPr>
              <w:t>4</w:t>
            </w:r>
          </w:p>
        </w:tc>
        <w:tc>
          <w:tcPr>
            <w:tcW w:w="1728" w:type="dxa"/>
            <w:tcBorders>
              <w:top w:val="single" w:color="auto" w:sz="4" w:space="0"/>
              <w:left w:val="single" w:color="auto" w:sz="4" w:space="0"/>
              <w:bottom w:val="single" w:color="auto" w:sz="4" w:space="0"/>
              <w:right w:val="single" w:color="auto" w:sz="4" w:space="0"/>
            </w:tcBorders>
            <w:vAlign w:val="center"/>
          </w:tcPr>
          <w:p w14:paraId="563C48B6">
            <w:pPr>
              <w:spacing w:line="500" w:lineRule="exact"/>
              <w:jc w:val="center"/>
              <w:rPr>
                <w:szCs w:val="21"/>
              </w:rPr>
            </w:pPr>
            <w:r>
              <w:rPr>
                <w:rFonts w:hint="eastAsia" w:ascii="宋体" w:hAnsi="宋体"/>
                <w:szCs w:val="21"/>
              </w:rPr>
              <w:t>招标范围</w:t>
            </w:r>
          </w:p>
        </w:tc>
        <w:tc>
          <w:tcPr>
            <w:tcW w:w="7020" w:type="dxa"/>
            <w:tcBorders>
              <w:top w:val="single" w:color="auto" w:sz="4" w:space="0"/>
              <w:left w:val="single" w:color="auto" w:sz="4" w:space="0"/>
              <w:bottom w:val="single" w:color="auto" w:sz="4" w:space="0"/>
              <w:right w:val="single" w:color="auto" w:sz="12" w:space="0"/>
            </w:tcBorders>
            <w:vAlign w:val="center"/>
          </w:tcPr>
          <w:p w14:paraId="545D8A95">
            <w:pPr>
              <w:spacing w:line="500" w:lineRule="exact"/>
              <w:jc w:val="left"/>
              <w:rPr>
                <w:rFonts w:ascii="宋体" w:hAnsi="宋体"/>
                <w:szCs w:val="21"/>
              </w:rPr>
            </w:pPr>
            <w:r>
              <w:rPr>
                <w:rFonts w:hint="eastAsia" w:hAnsi="宋体"/>
                <w:szCs w:val="21"/>
              </w:rPr>
              <w:t>范围详见1~6条。</w:t>
            </w:r>
          </w:p>
        </w:tc>
      </w:tr>
      <w:tr w14:paraId="23B3C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720" w:type="dxa"/>
            <w:tcBorders>
              <w:top w:val="single" w:color="auto" w:sz="4" w:space="0"/>
              <w:left w:val="single" w:color="auto" w:sz="12" w:space="0"/>
              <w:bottom w:val="single" w:color="auto" w:sz="4" w:space="0"/>
              <w:right w:val="single" w:color="auto" w:sz="4" w:space="0"/>
            </w:tcBorders>
            <w:vAlign w:val="center"/>
          </w:tcPr>
          <w:p w14:paraId="26364D5E">
            <w:pPr>
              <w:spacing w:line="500" w:lineRule="exact"/>
              <w:jc w:val="center"/>
              <w:rPr>
                <w:szCs w:val="21"/>
              </w:rPr>
            </w:pPr>
            <w:r>
              <w:rPr>
                <w:rFonts w:hint="eastAsia"/>
                <w:szCs w:val="21"/>
              </w:rPr>
              <w:t>5</w:t>
            </w:r>
          </w:p>
        </w:tc>
        <w:tc>
          <w:tcPr>
            <w:tcW w:w="1728" w:type="dxa"/>
            <w:tcBorders>
              <w:top w:val="single" w:color="auto" w:sz="4" w:space="0"/>
              <w:left w:val="single" w:color="auto" w:sz="4" w:space="0"/>
              <w:bottom w:val="single" w:color="auto" w:sz="4" w:space="0"/>
              <w:right w:val="single" w:color="auto" w:sz="4" w:space="0"/>
            </w:tcBorders>
            <w:vAlign w:val="center"/>
          </w:tcPr>
          <w:p w14:paraId="1C3EC25D">
            <w:pPr>
              <w:spacing w:line="500" w:lineRule="exact"/>
              <w:jc w:val="center"/>
              <w:rPr>
                <w:szCs w:val="21"/>
              </w:rPr>
            </w:pPr>
            <w:r>
              <w:rPr>
                <w:rFonts w:hint="eastAsia"/>
                <w:szCs w:val="21"/>
              </w:rPr>
              <w:t>计价方式</w:t>
            </w:r>
          </w:p>
        </w:tc>
        <w:tc>
          <w:tcPr>
            <w:tcW w:w="7020" w:type="dxa"/>
            <w:tcBorders>
              <w:top w:val="single" w:color="auto" w:sz="4" w:space="0"/>
              <w:left w:val="single" w:color="auto" w:sz="4" w:space="0"/>
              <w:bottom w:val="single" w:color="auto" w:sz="4" w:space="0"/>
              <w:right w:val="single" w:color="auto" w:sz="12" w:space="0"/>
            </w:tcBorders>
            <w:vAlign w:val="center"/>
          </w:tcPr>
          <w:p w14:paraId="39FB8874">
            <w:pPr>
              <w:spacing w:line="360" w:lineRule="auto"/>
              <w:jc w:val="left"/>
              <w:rPr>
                <w:szCs w:val="21"/>
              </w:rPr>
            </w:pPr>
            <w:r>
              <w:rPr>
                <w:rFonts w:hint="eastAsia"/>
                <w:szCs w:val="21"/>
              </w:rPr>
              <w:t>自拟</w:t>
            </w:r>
          </w:p>
        </w:tc>
      </w:tr>
      <w:tr w14:paraId="68CFE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20" w:type="dxa"/>
            <w:tcBorders>
              <w:top w:val="single" w:color="auto" w:sz="4" w:space="0"/>
              <w:left w:val="single" w:color="auto" w:sz="12" w:space="0"/>
              <w:bottom w:val="single" w:color="auto" w:sz="4" w:space="0"/>
              <w:right w:val="single" w:color="auto" w:sz="4" w:space="0"/>
            </w:tcBorders>
            <w:vAlign w:val="center"/>
          </w:tcPr>
          <w:p w14:paraId="6066DCA0">
            <w:pPr>
              <w:spacing w:line="500" w:lineRule="exact"/>
              <w:jc w:val="center"/>
              <w:rPr>
                <w:szCs w:val="21"/>
              </w:rPr>
            </w:pPr>
            <w:r>
              <w:rPr>
                <w:szCs w:val="21"/>
              </w:rPr>
              <w:t>6</w:t>
            </w:r>
          </w:p>
        </w:tc>
        <w:tc>
          <w:tcPr>
            <w:tcW w:w="1728" w:type="dxa"/>
            <w:tcBorders>
              <w:top w:val="single" w:color="auto" w:sz="4" w:space="0"/>
              <w:left w:val="single" w:color="auto" w:sz="4" w:space="0"/>
              <w:bottom w:val="single" w:color="auto" w:sz="4" w:space="0"/>
              <w:right w:val="single" w:color="auto" w:sz="4" w:space="0"/>
            </w:tcBorders>
            <w:vAlign w:val="center"/>
          </w:tcPr>
          <w:p w14:paraId="4527C8BC">
            <w:pPr>
              <w:spacing w:line="500" w:lineRule="exact"/>
              <w:jc w:val="center"/>
              <w:rPr>
                <w:szCs w:val="21"/>
              </w:rPr>
            </w:pPr>
            <w:r>
              <w:rPr>
                <w:rFonts w:hint="eastAsia"/>
                <w:szCs w:val="21"/>
              </w:rPr>
              <w:t>踏勘现场</w:t>
            </w:r>
          </w:p>
        </w:tc>
        <w:tc>
          <w:tcPr>
            <w:tcW w:w="7020" w:type="dxa"/>
            <w:tcBorders>
              <w:top w:val="single" w:color="auto" w:sz="4" w:space="0"/>
              <w:left w:val="single" w:color="auto" w:sz="4" w:space="0"/>
              <w:bottom w:val="single" w:color="auto" w:sz="4" w:space="0"/>
              <w:right w:val="single" w:color="auto" w:sz="12" w:space="0"/>
            </w:tcBorders>
            <w:vAlign w:val="center"/>
          </w:tcPr>
          <w:p w14:paraId="571C6202">
            <w:pPr>
              <w:spacing w:line="500" w:lineRule="exact"/>
              <w:jc w:val="left"/>
              <w:rPr>
                <w:szCs w:val="21"/>
              </w:rPr>
            </w:pPr>
            <w:r>
              <w:rPr>
                <w:rFonts w:hint="eastAsia"/>
                <w:szCs w:val="21"/>
              </w:rPr>
              <w:t>由投标人自行踏勘.</w:t>
            </w:r>
          </w:p>
        </w:tc>
      </w:tr>
      <w:tr w14:paraId="2FBC5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720" w:type="dxa"/>
            <w:tcBorders>
              <w:top w:val="single" w:color="auto" w:sz="4" w:space="0"/>
              <w:left w:val="single" w:color="auto" w:sz="12" w:space="0"/>
              <w:bottom w:val="single" w:color="auto" w:sz="4" w:space="0"/>
              <w:right w:val="single" w:color="auto" w:sz="4" w:space="0"/>
            </w:tcBorders>
            <w:vAlign w:val="center"/>
          </w:tcPr>
          <w:p w14:paraId="362EB3F8">
            <w:pPr>
              <w:spacing w:line="500" w:lineRule="exact"/>
              <w:jc w:val="center"/>
              <w:rPr>
                <w:szCs w:val="21"/>
              </w:rPr>
            </w:pPr>
            <w:r>
              <w:rPr>
                <w:szCs w:val="21"/>
              </w:rPr>
              <w:t>7</w:t>
            </w:r>
          </w:p>
        </w:tc>
        <w:tc>
          <w:tcPr>
            <w:tcW w:w="1728" w:type="dxa"/>
            <w:tcBorders>
              <w:top w:val="single" w:color="auto" w:sz="4" w:space="0"/>
              <w:left w:val="single" w:color="auto" w:sz="4" w:space="0"/>
              <w:bottom w:val="single" w:color="auto" w:sz="4" w:space="0"/>
              <w:right w:val="single" w:color="auto" w:sz="4" w:space="0"/>
            </w:tcBorders>
            <w:vAlign w:val="center"/>
          </w:tcPr>
          <w:p w14:paraId="39D7F32C">
            <w:pPr>
              <w:spacing w:line="500" w:lineRule="exact"/>
              <w:jc w:val="center"/>
              <w:rPr>
                <w:szCs w:val="21"/>
              </w:rPr>
            </w:pPr>
            <w:r>
              <w:rPr>
                <w:rFonts w:hint="eastAsia"/>
                <w:szCs w:val="21"/>
              </w:rPr>
              <w:t>招标答疑</w:t>
            </w:r>
          </w:p>
        </w:tc>
        <w:tc>
          <w:tcPr>
            <w:tcW w:w="7020" w:type="dxa"/>
            <w:tcBorders>
              <w:top w:val="single" w:color="auto" w:sz="4" w:space="0"/>
              <w:left w:val="single" w:color="auto" w:sz="4" w:space="0"/>
              <w:bottom w:val="single" w:color="auto" w:sz="4" w:space="0"/>
              <w:right w:val="single" w:color="auto" w:sz="12" w:space="0"/>
            </w:tcBorders>
            <w:vAlign w:val="center"/>
          </w:tcPr>
          <w:p w14:paraId="6D9B3474">
            <w:pPr>
              <w:spacing w:line="360" w:lineRule="auto"/>
              <w:jc w:val="left"/>
              <w:rPr>
                <w:szCs w:val="21"/>
              </w:rPr>
            </w:pPr>
            <w:r>
              <w:rPr>
                <w:rFonts w:hint="eastAsia"/>
                <w:szCs w:val="21"/>
              </w:rPr>
              <w:t>招标人可能视情况安排招标答疑会议，答疑会议时间招标人另行通知。</w:t>
            </w:r>
          </w:p>
        </w:tc>
      </w:tr>
      <w:tr w14:paraId="3C96B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20" w:type="dxa"/>
            <w:tcBorders>
              <w:top w:val="single" w:color="auto" w:sz="4" w:space="0"/>
              <w:left w:val="single" w:color="auto" w:sz="12" w:space="0"/>
              <w:bottom w:val="single" w:color="auto" w:sz="4" w:space="0"/>
              <w:right w:val="single" w:color="auto" w:sz="4" w:space="0"/>
            </w:tcBorders>
            <w:vAlign w:val="center"/>
          </w:tcPr>
          <w:p w14:paraId="24DB7E7F">
            <w:pPr>
              <w:spacing w:line="500" w:lineRule="exact"/>
              <w:jc w:val="center"/>
              <w:rPr>
                <w:szCs w:val="21"/>
              </w:rPr>
            </w:pPr>
            <w:r>
              <w:rPr>
                <w:szCs w:val="21"/>
              </w:rPr>
              <w:t>8</w:t>
            </w:r>
          </w:p>
        </w:tc>
        <w:tc>
          <w:tcPr>
            <w:tcW w:w="1728" w:type="dxa"/>
            <w:tcBorders>
              <w:top w:val="single" w:color="auto" w:sz="4" w:space="0"/>
              <w:left w:val="single" w:color="auto" w:sz="4" w:space="0"/>
              <w:bottom w:val="single" w:color="auto" w:sz="4" w:space="0"/>
              <w:right w:val="single" w:color="auto" w:sz="4" w:space="0"/>
            </w:tcBorders>
            <w:vAlign w:val="center"/>
          </w:tcPr>
          <w:p w14:paraId="6E9530EF">
            <w:pPr>
              <w:spacing w:line="500" w:lineRule="exact"/>
              <w:jc w:val="center"/>
              <w:rPr>
                <w:szCs w:val="21"/>
              </w:rPr>
            </w:pPr>
            <w:r>
              <w:rPr>
                <w:rFonts w:hint="eastAsia"/>
                <w:szCs w:val="21"/>
              </w:rPr>
              <w:t>投标有效期</w:t>
            </w:r>
          </w:p>
        </w:tc>
        <w:tc>
          <w:tcPr>
            <w:tcW w:w="7020" w:type="dxa"/>
            <w:tcBorders>
              <w:top w:val="single" w:color="auto" w:sz="4" w:space="0"/>
              <w:left w:val="single" w:color="auto" w:sz="4" w:space="0"/>
              <w:bottom w:val="single" w:color="auto" w:sz="4" w:space="0"/>
              <w:right w:val="single" w:color="auto" w:sz="12" w:space="0"/>
            </w:tcBorders>
            <w:vAlign w:val="center"/>
          </w:tcPr>
          <w:p w14:paraId="24355105">
            <w:pPr>
              <w:spacing w:line="500" w:lineRule="exact"/>
              <w:jc w:val="left"/>
              <w:rPr>
                <w:szCs w:val="21"/>
              </w:rPr>
            </w:pPr>
            <w:r>
              <w:rPr>
                <w:rFonts w:hint="eastAsia"/>
                <w:szCs w:val="21"/>
              </w:rPr>
              <w:t>投标书递交后30个日历天内有效</w:t>
            </w:r>
          </w:p>
        </w:tc>
      </w:tr>
      <w:tr w14:paraId="55A2B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720" w:type="dxa"/>
            <w:tcBorders>
              <w:top w:val="single" w:color="auto" w:sz="4" w:space="0"/>
              <w:left w:val="single" w:color="auto" w:sz="12" w:space="0"/>
              <w:bottom w:val="single" w:color="auto" w:sz="4" w:space="0"/>
              <w:right w:val="single" w:color="auto" w:sz="4" w:space="0"/>
            </w:tcBorders>
            <w:vAlign w:val="center"/>
          </w:tcPr>
          <w:p w14:paraId="433B4BB4">
            <w:pPr>
              <w:spacing w:line="500" w:lineRule="exact"/>
              <w:jc w:val="center"/>
              <w:rPr>
                <w:szCs w:val="21"/>
              </w:rPr>
            </w:pPr>
            <w:r>
              <w:rPr>
                <w:szCs w:val="21"/>
              </w:rPr>
              <w:t>9</w:t>
            </w:r>
          </w:p>
        </w:tc>
        <w:tc>
          <w:tcPr>
            <w:tcW w:w="1728" w:type="dxa"/>
            <w:tcBorders>
              <w:top w:val="single" w:color="auto" w:sz="4" w:space="0"/>
              <w:left w:val="single" w:color="auto" w:sz="4" w:space="0"/>
              <w:bottom w:val="single" w:color="auto" w:sz="4" w:space="0"/>
              <w:right w:val="single" w:color="auto" w:sz="4" w:space="0"/>
            </w:tcBorders>
            <w:vAlign w:val="center"/>
          </w:tcPr>
          <w:p w14:paraId="2228D81A">
            <w:pPr>
              <w:spacing w:line="500" w:lineRule="exact"/>
              <w:jc w:val="center"/>
              <w:rPr>
                <w:szCs w:val="21"/>
              </w:rPr>
            </w:pPr>
            <w:r>
              <w:rPr>
                <w:rFonts w:hint="eastAsia"/>
                <w:szCs w:val="21"/>
              </w:rPr>
              <w:t>投标书递交至</w:t>
            </w:r>
          </w:p>
        </w:tc>
        <w:tc>
          <w:tcPr>
            <w:tcW w:w="7020" w:type="dxa"/>
            <w:tcBorders>
              <w:top w:val="single" w:color="auto" w:sz="4" w:space="0"/>
              <w:left w:val="single" w:color="auto" w:sz="4" w:space="0"/>
              <w:bottom w:val="single" w:color="auto" w:sz="4" w:space="0"/>
              <w:right w:val="single" w:color="auto" w:sz="12" w:space="0"/>
            </w:tcBorders>
            <w:vAlign w:val="center"/>
          </w:tcPr>
          <w:p w14:paraId="485674EE">
            <w:pPr>
              <w:spacing w:line="500" w:lineRule="exact"/>
              <w:jc w:val="left"/>
              <w:rPr>
                <w:szCs w:val="21"/>
              </w:rPr>
            </w:pPr>
            <w:r>
              <w:rPr>
                <w:rFonts w:hint="eastAsia"/>
                <w:szCs w:val="21"/>
              </w:rPr>
              <w:t>福田区莲花路1120号医学中心科教楼303</w:t>
            </w:r>
          </w:p>
        </w:tc>
      </w:tr>
      <w:tr w14:paraId="2A9AF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20" w:type="dxa"/>
            <w:tcBorders>
              <w:top w:val="single" w:color="auto" w:sz="4" w:space="0"/>
              <w:left w:val="single" w:color="auto" w:sz="12" w:space="0"/>
              <w:bottom w:val="single" w:color="auto" w:sz="4" w:space="0"/>
              <w:right w:val="single" w:color="auto" w:sz="4" w:space="0"/>
            </w:tcBorders>
            <w:vAlign w:val="center"/>
          </w:tcPr>
          <w:p w14:paraId="4F1C6DFC">
            <w:pPr>
              <w:spacing w:line="500" w:lineRule="exact"/>
              <w:jc w:val="center"/>
              <w:rPr>
                <w:szCs w:val="21"/>
              </w:rPr>
            </w:pPr>
            <w:r>
              <w:rPr>
                <w:szCs w:val="21"/>
              </w:rPr>
              <w:t>10</w:t>
            </w:r>
          </w:p>
        </w:tc>
        <w:tc>
          <w:tcPr>
            <w:tcW w:w="1728" w:type="dxa"/>
            <w:tcBorders>
              <w:top w:val="single" w:color="auto" w:sz="4" w:space="0"/>
              <w:left w:val="single" w:color="auto" w:sz="4" w:space="0"/>
              <w:bottom w:val="single" w:color="auto" w:sz="4" w:space="0"/>
              <w:right w:val="single" w:color="auto" w:sz="4" w:space="0"/>
            </w:tcBorders>
            <w:vAlign w:val="center"/>
          </w:tcPr>
          <w:p w14:paraId="5A03F116">
            <w:pPr>
              <w:spacing w:line="500" w:lineRule="exact"/>
              <w:jc w:val="center"/>
              <w:rPr>
                <w:szCs w:val="21"/>
              </w:rPr>
            </w:pPr>
            <w:r>
              <w:rPr>
                <w:rFonts w:hint="eastAsia"/>
                <w:szCs w:val="21"/>
              </w:rPr>
              <w:t>投标截止时间</w:t>
            </w:r>
          </w:p>
        </w:tc>
        <w:tc>
          <w:tcPr>
            <w:tcW w:w="7020" w:type="dxa"/>
            <w:tcBorders>
              <w:top w:val="single" w:color="auto" w:sz="4" w:space="0"/>
              <w:left w:val="single" w:color="auto" w:sz="4" w:space="0"/>
              <w:bottom w:val="single" w:color="auto" w:sz="4" w:space="0"/>
              <w:right w:val="single" w:color="auto" w:sz="12" w:space="0"/>
            </w:tcBorders>
            <w:vAlign w:val="center"/>
          </w:tcPr>
          <w:p w14:paraId="6B5026AF">
            <w:pPr>
              <w:spacing w:line="500" w:lineRule="exact"/>
              <w:jc w:val="left"/>
              <w:rPr>
                <w:rFonts w:hint="default" w:eastAsia="宋体"/>
                <w:szCs w:val="21"/>
                <w:u w:val="single"/>
                <w:lang w:val="en-US" w:eastAsia="zh-CN"/>
              </w:rPr>
            </w:pPr>
            <w:r>
              <w:rPr>
                <w:rFonts w:hint="eastAsia"/>
                <w:szCs w:val="21"/>
              </w:rPr>
              <w:t>2025.0</w:t>
            </w:r>
            <w:r>
              <w:rPr>
                <w:rFonts w:hint="eastAsia"/>
                <w:szCs w:val="21"/>
                <w:lang w:val="en-US" w:eastAsia="zh-CN"/>
              </w:rPr>
              <w:t>7</w:t>
            </w:r>
            <w:r>
              <w:rPr>
                <w:rFonts w:hint="eastAsia"/>
                <w:szCs w:val="21"/>
              </w:rPr>
              <w:t>.</w:t>
            </w:r>
            <w:r>
              <w:rPr>
                <w:rFonts w:hint="eastAsia"/>
                <w:szCs w:val="21"/>
                <w:lang w:val="en-US" w:eastAsia="zh-CN"/>
              </w:rPr>
              <w:t>25</w:t>
            </w:r>
          </w:p>
          <w:p w14:paraId="2F524B39">
            <w:pPr>
              <w:spacing w:line="500" w:lineRule="exact"/>
              <w:jc w:val="left"/>
              <w:rPr>
                <w:szCs w:val="21"/>
              </w:rPr>
            </w:pPr>
          </w:p>
        </w:tc>
      </w:tr>
      <w:tr w14:paraId="0AD01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20" w:type="dxa"/>
            <w:tcBorders>
              <w:top w:val="single" w:color="auto" w:sz="4" w:space="0"/>
              <w:left w:val="single" w:color="auto" w:sz="12" w:space="0"/>
              <w:bottom w:val="single" w:color="auto" w:sz="4" w:space="0"/>
              <w:right w:val="single" w:color="auto" w:sz="4" w:space="0"/>
            </w:tcBorders>
            <w:vAlign w:val="center"/>
          </w:tcPr>
          <w:p w14:paraId="770A711B">
            <w:pPr>
              <w:spacing w:line="500" w:lineRule="exact"/>
              <w:jc w:val="center"/>
              <w:rPr>
                <w:rFonts w:hint="default" w:eastAsia="宋体"/>
                <w:szCs w:val="21"/>
                <w:lang w:val="en-US" w:eastAsia="zh-CN"/>
              </w:rPr>
            </w:pPr>
            <w:r>
              <w:rPr>
                <w:rFonts w:hint="eastAsia"/>
                <w:szCs w:val="21"/>
                <w:lang w:val="en-US" w:eastAsia="zh-CN"/>
              </w:rPr>
              <w:t>11</w:t>
            </w:r>
          </w:p>
        </w:tc>
        <w:tc>
          <w:tcPr>
            <w:tcW w:w="1728" w:type="dxa"/>
            <w:tcBorders>
              <w:top w:val="single" w:color="auto" w:sz="4" w:space="0"/>
              <w:left w:val="single" w:color="auto" w:sz="4" w:space="0"/>
              <w:bottom w:val="single" w:color="auto" w:sz="4" w:space="0"/>
              <w:right w:val="single" w:color="auto" w:sz="4" w:space="0"/>
            </w:tcBorders>
            <w:vAlign w:val="center"/>
          </w:tcPr>
          <w:p w14:paraId="4855F792">
            <w:pPr>
              <w:spacing w:line="500" w:lineRule="exact"/>
              <w:jc w:val="center"/>
              <w:rPr>
                <w:rFonts w:hint="eastAsia" w:eastAsia="宋体"/>
                <w:szCs w:val="21"/>
                <w:lang w:val="en-US" w:eastAsia="zh-CN"/>
              </w:rPr>
            </w:pPr>
            <w:r>
              <w:rPr>
                <w:rFonts w:hint="eastAsia"/>
                <w:szCs w:val="21"/>
                <w:lang w:val="en-US" w:eastAsia="zh-CN"/>
              </w:rPr>
              <w:t>项目预算</w:t>
            </w:r>
          </w:p>
        </w:tc>
        <w:tc>
          <w:tcPr>
            <w:tcW w:w="7020" w:type="dxa"/>
            <w:tcBorders>
              <w:top w:val="single" w:color="auto" w:sz="4" w:space="0"/>
              <w:left w:val="single" w:color="auto" w:sz="4" w:space="0"/>
              <w:bottom w:val="single" w:color="auto" w:sz="4" w:space="0"/>
              <w:right w:val="single" w:color="auto" w:sz="12" w:space="0"/>
            </w:tcBorders>
            <w:vAlign w:val="center"/>
          </w:tcPr>
          <w:p w14:paraId="5EB4ECAF">
            <w:pPr>
              <w:spacing w:line="500" w:lineRule="exact"/>
              <w:jc w:val="left"/>
              <w:rPr>
                <w:szCs w:val="21"/>
              </w:rPr>
            </w:pPr>
            <w:r>
              <w:rPr>
                <w:rFonts w:hint="eastAsia"/>
                <w:szCs w:val="21"/>
              </w:rPr>
              <w:t>不超过人民币</w:t>
            </w:r>
            <w:r>
              <w:rPr>
                <w:rFonts w:hint="eastAsia"/>
                <w:szCs w:val="21"/>
                <w:lang w:val="en-US" w:eastAsia="zh-CN"/>
              </w:rPr>
              <w:t>28</w:t>
            </w:r>
            <w:r>
              <w:rPr>
                <w:rFonts w:hint="eastAsia"/>
                <w:szCs w:val="21"/>
              </w:rPr>
              <w:t>万元</w:t>
            </w:r>
          </w:p>
        </w:tc>
      </w:tr>
      <w:tr w14:paraId="51961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5" w:hRule="exact"/>
        </w:trPr>
        <w:tc>
          <w:tcPr>
            <w:tcW w:w="720" w:type="dxa"/>
            <w:tcBorders>
              <w:top w:val="single" w:color="auto" w:sz="4" w:space="0"/>
              <w:left w:val="single" w:color="auto" w:sz="12" w:space="0"/>
              <w:bottom w:val="single" w:color="auto" w:sz="12" w:space="0"/>
              <w:right w:val="single" w:color="auto" w:sz="4" w:space="0"/>
            </w:tcBorders>
            <w:vAlign w:val="center"/>
          </w:tcPr>
          <w:p w14:paraId="2CCE08F1">
            <w:pPr>
              <w:spacing w:line="500" w:lineRule="exact"/>
              <w:jc w:val="center"/>
              <w:rPr>
                <w:szCs w:val="21"/>
              </w:rPr>
            </w:pPr>
            <w:r>
              <w:rPr>
                <w:szCs w:val="21"/>
              </w:rPr>
              <w:t>11</w:t>
            </w:r>
          </w:p>
        </w:tc>
        <w:tc>
          <w:tcPr>
            <w:tcW w:w="1728" w:type="dxa"/>
            <w:tcBorders>
              <w:top w:val="single" w:color="auto" w:sz="4" w:space="0"/>
              <w:left w:val="single" w:color="auto" w:sz="4" w:space="0"/>
              <w:bottom w:val="single" w:color="auto" w:sz="12" w:space="0"/>
              <w:right w:val="single" w:color="auto" w:sz="4" w:space="0"/>
            </w:tcBorders>
            <w:vAlign w:val="center"/>
          </w:tcPr>
          <w:p w14:paraId="57C746FC">
            <w:pPr>
              <w:spacing w:line="500" w:lineRule="exact"/>
              <w:jc w:val="center"/>
              <w:rPr>
                <w:szCs w:val="21"/>
              </w:rPr>
            </w:pPr>
            <w:r>
              <w:rPr>
                <w:rFonts w:hint="eastAsia"/>
                <w:szCs w:val="21"/>
              </w:rPr>
              <w:t>评标办法及标准</w:t>
            </w:r>
          </w:p>
        </w:tc>
        <w:tc>
          <w:tcPr>
            <w:tcW w:w="7020" w:type="dxa"/>
            <w:tcBorders>
              <w:top w:val="single" w:color="auto" w:sz="4" w:space="0"/>
              <w:left w:val="single" w:color="auto" w:sz="4" w:space="0"/>
              <w:bottom w:val="single" w:color="auto" w:sz="12" w:space="0"/>
              <w:right w:val="single" w:color="auto" w:sz="12" w:space="0"/>
            </w:tcBorders>
            <w:vAlign w:val="center"/>
          </w:tcPr>
          <w:p w14:paraId="19CE2A36">
            <w:pPr>
              <w:spacing w:line="400" w:lineRule="exact"/>
              <w:rPr>
                <w:szCs w:val="21"/>
              </w:rPr>
            </w:pPr>
            <w:r>
              <w:rPr>
                <w:rFonts w:hint="eastAsia"/>
                <w:szCs w:val="21"/>
              </w:rPr>
              <w:t>评分办法：采用综合评标法</w:t>
            </w:r>
          </w:p>
          <w:p w14:paraId="7EE19A97">
            <w:pPr>
              <w:numPr>
                <w:ilvl w:val="0"/>
                <w:numId w:val="3"/>
              </w:numPr>
              <w:spacing w:line="400" w:lineRule="exact"/>
              <w:ind w:firstLine="420" w:firstLineChars="200"/>
              <w:rPr>
                <w:szCs w:val="21"/>
              </w:rPr>
            </w:pPr>
            <w:r>
              <w:rPr>
                <w:rFonts w:hint="eastAsia"/>
                <w:szCs w:val="21"/>
              </w:rPr>
              <w:t>招标人评标委员会由招标人按</w:t>
            </w:r>
            <w:r>
              <w:rPr>
                <w:rFonts w:hint="eastAsia"/>
                <w:szCs w:val="21"/>
                <w:lang w:val="en-US" w:eastAsia="zh-CN"/>
              </w:rPr>
              <w:t>内控制度</w:t>
            </w:r>
            <w:r>
              <w:rPr>
                <w:rFonts w:hint="eastAsia"/>
                <w:szCs w:val="21"/>
              </w:rPr>
              <w:t>组建。</w:t>
            </w:r>
          </w:p>
          <w:p w14:paraId="38930ECD">
            <w:pPr>
              <w:numPr>
                <w:ilvl w:val="0"/>
                <w:numId w:val="3"/>
              </w:numPr>
              <w:spacing w:line="400" w:lineRule="exact"/>
              <w:ind w:firstLine="420" w:firstLineChars="200"/>
              <w:rPr>
                <w:szCs w:val="21"/>
              </w:rPr>
            </w:pPr>
            <w:r>
              <w:rPr>
                <w:rFonts w:hint="eastAsia"/>
                <w:szCs w:val="21"/>
              </w:rPr>
              <w:t>评标委员会根据评分细则对通过初步评审的各投标人进行详细评审。即：各成员根据招标文件规定的评分规则，对投标文件独立进行评分。在后续评审中该得分不得更改。在完成评审后，由评标委员会对各投标人进行详细评审并打分。</w:t>
            </w:r>
          </w:p>
          <w:p w14:paraId="2BEB7C56">
            <w:pPr>
              <w:numPr>
                <w:ilvl w:val="0"/>
                <w:numId w:val="3"/>
              </w:numPr>
              <w:spacing w:line="400" w:lineRule="exact"/>
              <w:ind w:firstLine="420" w:firstLineChars="200"/>
              <w:rPr>
                <w:szCs w:val="21"/>
              </w:rPr>
            </w:pPr>
            <w:r>
              <w:rPr>
                <w:rFonts w:hint="eastAsia"/>
                <w:szCs w:val="21"/>
              </w:rPr>
              <w:t>根据综合评标得分最高的投标人拟作为项目中标人。</w:t>
            </w:r>
          </w:p>
          <w:p w14:paraId="5112F2C7">
            <w:pPr>
              <w:spacing w:line="400" w:lineRule="exact"/>
              <w:rPr>
                <w:szCs w:val="21"/>
              </w:rPr>
            </w:pPr>
            <w:r>
              <w:rPr>
                <w:rFonts w:hint="eastAsia"/>
                <w:szCs w:val="21"/>
              </w:rPr>
              <w:t>评分标准：</w:t>
            </w:r>
          </w:p>
          <w:p w14:paraId="651455BF">
            <w:pPr>
              <w:spacing w:line="360" w:lineRule="auto"/>
              <w:ind w:firstLine="630" w:firstLineChars="300"/>
              <w:rPr>
                <w:snapToGrid w:val="0"/>
                <w:kern w:val="0"/>
              </w:rPr>
            </w:pPr>
            <w:r>
              <w:rPr>
                <w:rFonts w:hint="eastAsia"/>
                <w:snapToGrid w:val="0"/>
                <w:kern w:val="0"/>
              </w:rPr>
              <w:t>评委会在评标时，应按照以下评分表量化的评审因素，对各投标文件进行分析和比较。</w:t>
            </w:r>
          </w:p>
          <w:p w14:paraId="727F7FCF">
            <w:pPr>
              <w:spacing w:line="400" w:lineRule="exact"/>
              <w:rPr>
                <w:szCs w:val="21"/>
              </w:rPr>
            </w:pPr>
          </w:p>
        </w:tc>
      </w:tr>
    </w:tbl>
    <w:p w14:paraId="005FD14E">
      <w:pPr>
        <w:spacing w:line="500" w:lineRule="exact"/>
        <w:ind w:left="480" w:hanging="480"/>
        <w:rPr>
          <w:sz w:val="24"/>
        </w:rPr>
      </w:pPr>
    </w:p>
    <w:p w14:paraId="3C1D06FD">
      <w:pPr>
        <w:spacing w:line="300" w:lineRule="auto"/>
        <w:rPr>
          <w:rFonts w:ascii="黑体" w:eastAsia="黑体"/>
          <w:b/>
          <w:sz w:val="28"/>
        </w:rPr>
      </w:pPr>
      <w:r>
        <w:rPr>
          <w:rFonts w:hint="eastAsia" w:ascii="黑体" w:eastAsia="黑体"/>
          <w:b/>
          <w:sz w:val="28"/>
        </w:rPr>
        <w:t xml:space="preserve">  </w:t>
      </w:r>
    </w:p>
    <w:p w14:paraId="2BA690B6">
      <w:pPr>
        <w:spacing w:line="300" w:lineRule="auto"/>
        <w:rPr>
          <w:b/>
          <w:szCs w:val="21"/>
        </w:rPr>
      </w:pPr>
      <w:r>
        <w:rPr>
          <w:rFonts w:hint="eastAsia" w:ascii="黑体" w:eastAsia="黑体"/>
          <w:b/>
          <w:sz w:val="28"/>
        </w:rPr>
        <w:t xml:space="preserve"> 1</w:t>
      </w:r>
      <w:r>
        <w:rPr>
          <w:rFonts w:hint="eastAsia" w:ascii="黑体" w:eastAsia="黑体"/>
          <w:b/>
          <w:sz w:val="28"/>
          <w:lang w:eastAsia="zh-CN"/>
        </w:rPr>
        <w:t>、</w:t>
      </w:r>
      <w:r>
        <w:rPr>
          <w:rFonts w:hint="eastAsia" w:ascii="黑体" w:eastAsia="黑体"/>
          <w:b/>
          <w:sz w:val="28"/>
        </w:rPr>
        <w:t>总则</w:t>
      </w:r>
      <w:r>
        <w:rPr>
          <w:rFonts w:hint="eastAsia" w:ascii="宋体"/>
          <w:b/>
        </w:rPr>
        <w:t xml:space="preserve"> </w:t>
      </w:r>
    </w:p>
    <w:p w14:paraId="2D488160">
      <w:pPr>
        <w:pStyle w:val="43"/>
        <w:spacing w:line="500" w:lineRule="exact"/>
        <w:ind w:firstLine="420" w:firstLineChars="200"/>
        <w:rPr>
          <w:b/>
          <w:sz w:val="21"/>
          <w:szCs w:val="21"/>
        </w:rPr>
      </w:pPr>
      <w:r>
        <w:rPr>
          <w:rFonts w:hint="eastAsia" w:ascii="宋体" w:hAnsi="宋体"/>
          <w:b/>
          <w:sz w:val="21"/>
          <w:szCs w:val="21"/>
        </w:rPr>
        <w:t xml:space="preserve">1.1  </w:t>
      </w:r>
      <w:r>
        <w:rPr>
          <w:rFonts w:hint="eastAsia"/>
          <w:b/>
          <w:sz w:val="21"/>
          <w:szCs w:val="21"/>
        </w:rPr>
        <w:t>项目概况</w:t>
      </w:r>
    </w:p>
    <w:p w14:paraId="21B68E0E">
      <w:pPr>
        <w:spacing w:line="500" w:lineRule="exact"/>
        <w:rPr>
          <w:rFonts w:ascii="宋体" w:hAnsi="宋体"/>
          <w:szCs w:val="21"/>
        </w:rPr>
      </w:pPr>
      <w:r>
        <w:rPr>
          <w:rFonts w:hint="eastAsia" w:ascii="宋体" w:hAnsi="宋体"/>
          <w:szCs w:val="21"/>
        </w:rPr>
        <w:t xml:space="preserve">    1.1.1项目名称：</w:t>
      </w:r>
      <w:r>
        <w:rPr>
          <w:rFonts w:hint="eastAsia"/>
          <w:lang w:val="en-US" w:eastAsia="zh-CN"/>
        </w:rPr>
        <w:t>无线网络改造项目</w:t>
      </w:r>
    </w:p>
    <w:p w14:paraId="5C287ABC">
      <w:pPr>
        <w:pStyle w:val="43"/>
        <w:spacing w:line="500" w:lineRule="exact"/>
        <w:ind w:firstLine="420" w:firstLineChars="200"/>
        <w:rPr>
          <w:rFonts w:ascii="宋体" w:hAnsi="宋体"/>
          <w:b/>
          <w:sz w:val="21"/>
          <w:szCs w:val="21"/>
        </w:rPr>
      </w:pPr>
      <w:r>
        <w:rPr>
          <w:rFonts w:ascii="宋体" w:hAnsi="宋体"/>
          <w:b/>
          <w:sz w:val="21"/>
          <w:szCs w:val="21"/>
        </w:rPr>
        <w:t>1.</w:t>
      </w:r>
      <w:r>
        <w:rPr>
          <w:rFonts w:hint="eastAsia" w:ascii="宋体" w:hAnsi="宋体"/>
          <w:b/>
          <w:sz w:val="21"/>
          <w:szCs w:val="21"/>
        </w:rPr>
        <w:t>2有关单位和机构</w:t>
      </w:r>
    </w:p>
    <w:p w14:paraId="59FC03DA">
      <w:pPr>
        <w:pStyle w:val="43"/>
        <w:spacing w:line="440" w:lineRule="exact"/>
        <w:ind w:firstLine="420" w:firstLineChars="200"/>
        <w:rPr>
          <w:rFonts w:ascii="宋体" w:hAnsi="宋体"/>
          <w:sz w:val="21"/>
          <w:szCs w:val="21"/>
        </w:rPr>
      </w:pPr>
      <w:r>
        <w:rPr>
          <w:rFonts w:ascii="宋体" w:hAnsi="宋体"/>
          <w:sz w:val="21"/>
          <w:szCs w:val="21"/>
        </w:rPr>
        <w:t>1.</w:t>
      </w:r>
      <w:r>
        <w:rPr>
          <w:rFonts w:hint="eastAsia" w:ascii="宋体" w:hAnsi="宋体"/>
          <w:sz w:val="21"/>
          <w:szCs w:val="21"/>
        </w:rPr>
        <w:t>2</w:t>
      </w:r>
      <w:r>
        <w:rPr>
          <w:rFonts w:ascii="宋体" w:hAnsi="宋体"/>
          <w:sz w:val="21"/>
          <w:szCs w:val="21"/>
        </w:rPr>
        <w:t xml:space="preserve">.1 </w:t>
      </w:r>
      <w:r>
        <w:rPr>
          <w:rFonts w:hint="eastAsia" w:ascii="宋体" w:hAnsi="宋体"/>
          <w:sz w:val="21"/>
          <w:szCs w:val="21"/>
        </w:rPr>
        <w:t>单位：深圳北京大学香港科技大学医学中心</w:t>
      </w:r>
    </w:p>
    <w:p w14:paraId="53B0DE6C">
      <w:pPr>
        <w:pStyle w:val="43"/>
        <w:spacing w:line="500" w:lineRule="exact"/>
        <w:ind w:firstLine="420" w:firstLineChars="200"/>
        <w:rPr>
          <w:rFonts w:ascii="宋体" w:hAnsi="宋体"/>
          <w:b/>
          <w:sz w:val="21"/>
          <w:szCs w:val="21"/>
        </w:rPr>
      </w:pPr>
      <w:r>
        <w:rPr>
          <w:rFonts w:ascii="宋体" w:hAnsi="宋体"/>
          <w:b/>
          <w:sz w:val="21"/>
          <w:szCs w:val="21"/>
        </w:rPr>
        <w:t>1.</w:t>
      </w:r>
      <w:r>
        <w:rPr>
          <w:rFonts w:hint="eastAsia" w:ascii="宋体" w:hAnsi="宋体"/>
          <w:b/>
          <w:sz w:val="21"/>
          <w:szCs w:val="21"/>
        </w:rPr>
        <w:t>3现场条件</w:t>
      </w:r>
    </w:p>
    <w:p w14:paraId="2C84E26B">
      <w:pPr>
        <w:pStyle w:val="43"/>
        <w:spacing w:line="500" w:lineRule="exact"/>
        <w:ind w:firstLine="420" w:firstLineChars="200"/>
        <w:rPr>
          <w:sz w:val="21"/>
          <w:szCs w:val="21"/>
          <w:shd w:val="clear" w:color="auto" w:fill="FFFFFF"/>
        </w:rPr>
      </w:pPr>
      <w:r>
        <w:rPr>
          <w:rFonts w:hint="eastAsia"/>
          <w:sz w:val="21"/>
          <w:szCs w:val="21"/>
          <w:shd w:val="clear" w:color="auto" w:fill="FFFFFF"/>
        </w:rPr>
        <w:t>自行勘探。</w:t>
      </w:r>
    </w:p>
    <w:p w14:paraId="1A93F050">
      <w:pPr>
        <w:pStyle w:val="43"/>
        <w:spacing w:line="500" w:lineRule="exact"/>
        <w:ind w:firstLine="420" w:firstLineChars="200"/>
        <w:rPr>
          <w:rFonts w:ascii="宋体" w:hAnsi="宋体"/>
          <w:b/>
          <w:sz w:val="21"/>
          <w:szCs w:val="21"/>
        </w:rPr>
      </w:pPr>
      <w:r>
        <w:rPr>
          <w:rFonts w:ascii="宋体" w:hAnsi="宋体"/>
          <w:b/>
          <w:sz w:val="21"/>
          <w:szCs w:val="21"/>
        </w:rPr>
        <w:t>1.</w:t>
      </w:r>
      <w:r>
        <w:rPr>
          <w:rFonts w:hint="eastAsia" w:ascii="宋体" w:hAnsi="宋体"/>
          <w:b/>
          <w:sz w:val="21"/>
          <w:szCs w:val="21"/>
        </w:rPr>
        <w:t>4招标范围</w:t>
      </w:r>
    </w:p>
    <w:p w14:paraId="61ABA1C8">
      <w:pPr>
        <w:pStyle w:val="43"/>
        <w:spacing w:line="440" w:lineRule="exact"/>
        <w:ind w:firstLine="400" w:firstLineChars="200"/>
        <w:rPr>
          <w:rFonts w:hint="default" w:ascii="Times New Roman" w:hAnsi="Times New Roman" w:eastAsia="宋体" w:cs="Times New Roman"/>
          <w:sz w:val="21"/>
          <w:szCs w:val="22"/>
          <w:lang w:val="en-US" w:eastAsia="zh-CN"/>
        </w:rPr>
      </w:pPr>
      <w:r>
        <w:rPr>
          <w:rFonts w:hint="eastAsia" w:ascii="宋体" w:hAnsi="宋体"/>
          <w:szCs w:val="21"/>
        </w:rPr>
        <w:t>1.41.</w:t>
      </w:r>
      <w:r>
        <w:rPr>
          <w:rFonts w:hint="eastAsia" w:ascii="宋体" w:hAnsi="宋体"/>
          <w:sz w:val="21"/>
          <w:szCs w:val="21"/>
          <w:lang w:val="en-US" w:eastAsia="zh-CN"/>
        </w:rPr>
        <w:t>对科教楼除2层外，其余8层按甲方要求进行无线覆盖</w:t>
      </w:r>
    </w:p>
    <w:p w14:paraId="15006737">
      <w:pPr>
        <w:pStyle w:val="43"/>
        <w:spacing w:line="440" w:lineRule="exact"/>
        <w:ind w:firstLine="420" w:firstLineChars="200"/>
        <w:rPr>
          <w:rFonts w:cs="Times New Roman" w:asciiTheme="majorEastAsia" w:hAnsiTheme="majorEastAsia" w:eastAsiaTheme="majorEastAsia"/>
          <w:sz w:val="21"/>
          <w:szCs w:val="21"/>
        </w:rPr>
      </w:pPr>
      <w:r>
        <w:rPr>
          <w:rFonts w:hint="eastAsia" w:cs="Times New Roman" w:asciiTheme="majorEastAsia" w:hAnsiTheme="majorEastAsia" w:eastAsiaTheme="majorEastAsia"/>
          <w:sz w:val="21"/>
          <w:szCs w:val="21"/>
        </w:rPr>
        <w:t>1.42本次招投标方案：</w:t>
      </w:r>
    </w:p>
    <w:p w14:paraId="459EFC00">
      <w:pPr>
        <w:pStyle w:val="43"/>
        <w:spacing w:line="440" w:lineRule="exact"/>
        <w:ind w:firstLine="420" w:firstLineChars="200"/>
        <w:rPr>
          <w:rFonts w:cs="Times New Roman" w:asciiTheme="majorEastAsia" w:hAnsiTheme="majorEastAsia" w:eastAsiaTheme="majorEastAsia"/>
          <w:sz w:val="21"/>
          <w:szCs w:val="21"/>
        </w:rPr>
      </w:pPr>
      <w:r>
        <w:rPr>
          <w:rFonts w:hint="eastAsia" w:cs="Times New Roman" w:asciiTheme="majorEastAsia" w:hAnsiTheme="majorEastAsia" w:eastAsiaTheme="majorEastAsia"/>
          <w:sz w:val="21"/>
          <w:szCs w:val="21"/>
        </w:rPr>
        <w:t>1.421 本次招投标分为，各投标方需在</w:t>
      </w:r>
      <w:r>
        <w:rPr>
          <w:rFonts w:hint="eastAsia" w:cs="Times New Roman" w:asciiTheme="majorEastAsia" w:hAnsiTheme="majorEastAsia" w:eastAsiaTheme="majorEastAsia"/>
          <w:color w:val="FF0000"/>
          <w:sz w:val="21"/>
          <w:szCs w:val="21"/>
          <w:u w:val="single"/>
        </w:rPr>
        <w:t xml:space="preserve"> </w:t>
      </w:r>
      <w:r>
        <w:rPr>
          <w:rFonts w:hint="eastAsia" w:cs="Times New Roman" w:asciiTheme="majorEastAsia" w:hAnsiTheme="majorEastAsia" w:eastAsiaTheme="majorEastAsia"/>
          <w:color w:val="FF0000"/>
          <w:sz w:val="21"/>
          <w:szCs w:val="21"/>
          <w:u w:val="single"/>
          <w:lang w:val="en-US" w:eastAsia="zh-CN"/>
        </w:rPr>
        <w:t>7</w:t>
      </w:r>
      <w:r>
        <w:rPr>
          <w:rFonts w:hint="eastAsia" w:cs="Times New Roman" w:asciiTheme="majorEastAsia" w:hAnsiTheme="majorEastAsia" w:eastAsiaTheme="majorEastAsia"/>
          <w:color w:val="FF0000"/>
          <w:sz w:val="21"/>
          <w:szCs w:val="21"/>
          <w:u w:val="single"/>
        </w:rPr>
        <w:t xml:space="preserve"> </w:t>
      </w:r>
      <w:r>
        <w:rPr>
          <w:rFonts w:hint="eastAsia" w:cs="Times New Roman" w:asciiTheme="majorEastAsia" w:hAnsiTheme="majorEastAsia" w:eastAsiaTheme="majorEastAsia"/>
          <w:sz w:val="21"/>
          <w:szCs w:val="21"/>
        </w:rPr>
        <w:t>月</w:t>
      </w:r>
      <w:r>
        <w:rPr>
          <w:rFonts w:hint="eastAsia" w:cs="Times New Roman" w:asciiTheme="majorEastAsia" w:hAnsiTheme="majorEastAsia" w:eastAsiaTheme="majorEastAsia"/>
          <w:color w:val="FF0000"/>
          <w:sz w:val="21"/>
          <w:szCs w:val="21"/>
          <w:u w:val="single"/>
        </w:rPr>
        <w:t xml:space="preserve"> </w:t>
      </w:r>
      <w:r>
        <w:rPr>
          <w:rFonts w:hint="eastAsia" w:cs="Times New Roman" w:asciiTheme="majorEastAsia" w:hAnsiTheme="majorEastAsia" w:eastAsiaTheme="majorEastAsia"/>
          <w:color w:val="FF0000"/>
          <w:sz w:val="21"/>
          <w:szCs w:val="21"/>
          <w:u w:val="single"/>
          <w:lang w:val="en-US" w:eastAsia="zh-CN"/>
        </w:rPr>
        <w:t>25</w:t>
      </w:r>
      <w:r>
        <w:rPr>
          <w:rFonts w:hint="eastAsia" w:cs="Times New Roman" w:asciiTheme="majorEastAsia" w:hAnsiTheme="majorEastAsia" w:eastAsiaTheme="majorEastAsia"/>
          <w:color w:val="FF0000"/>
          <w:sz w:val="21"/>
          <w:szCs w:val="21"/>
          <w:u w:val="single"/>
        </w:rPr>
        <w:t xml:space="preserve"> </w:t>
      </w:r>
      <w:r>
        <w:rPr>
          <w:rFonts w:hint="eastAsia" w:cs="Times New Roman" w:asciiTheme="majorEastAsia" w:hAnsiTheme="majorEastAsia" w:eastAsiaTheme="majorEastAsia"/>
          <w:sz w:val="21"/>
          <w:szCs w:val="21"/>
        </w:rPr>
        <w:t>日前预先报名，将投标资质交到甲方项目负责人处；</w:t>
      </w:r>
    </w:p>
    <w:p w14:paraId="5E50B44B">
      <w:pPr>
        <w:pStyle w:val="43"/>
        <w:spacing w:line="440" w:lineRule="exact"/>
        <w:ind w:firstLine="420" w:firstLineChars="200"/>
        <w:rPr>
          <w:rFonts w:ascii="Times New Roman" w:hAnsi="Times New Roman" w:cs="Times New Roman"/>
          <w:sz w:val="21"/>
          <w:szCs w:val="21"/>
        </w:rPr>
      </w:pPr>
      <w:r>
        <w:rPr>
          <w:rFonts w:hint="eastAsia" w:cs="Times New Roman" w:asciiTheme="majorEastAsia" w:hAnsiTheme="majorEastAsia" w:eastAsiaTheme="majorEastAsia"/>
          <w:sz w:val="21"/>
          <w:szCs w:val="21"/>
        </w:rPr>
        <w:t>1.422</w:t>
      </w:r>
      <w:r>
        <w:rPr>
          <w:rFonts w:hint="eastAsia" w:ascii="Times New Roman" w:hAnsi="Times New Roman" w:cs="Times New Roman"/>
          <w:sz w:val="21"/>
          <w:szCs w:val="21"/>
        </w:rPr>
        <w:t>各投标人在开标当天递交投标文件，最终竞标结果由评标委员会确定后，通过网上公告通知各投标人。</w:t>
      </w:r>
    </w:p>
    <w:p w14:paraId="21B21CF3">
      <w:pPr>
        <w:spacing w:before="120" w:line="300" w:lineRule="auto"/>
        <w:ind w:firstLine="411" w:firstLineChars="196"/>
        <w:rPr>
          <w:rFonts w:ascii="宋体"/>
          <w:b/>
        </w:rPr>
      </w:pPr>
      <w:r>
        <w:rPr>
          <w:rFonts w:hint="eastAsia" w:ascii="宋体"/>
          <w:b/>
        </w:rPr>
        <w:t xml:space="preserve">1.5  </w:t>
      </w:r>
      <w:r>
        <w:rPr>
          <w:rFonts w:hint="eastAsia" w:ascii="宋体"/>
          <w:b/>
          <w:bCs/>
        </w:rPr>
        <w:t>投标人资格要求（以下所有材料提交复印件加盖单位公章）</w:t>
      </w:r>
    </w:p>
    <w:p w14:paraId="38F6714A">
      <w:pPr>
        <w:spacing w:before="120" w:line="300" w:lineRule="auto"/>
        <w:ind w:firstLine="442" w:firstLineChars="196"/>
        <w:rPr>
          <w:rFonts w:hint="eastAsia" w:ascii="宋体" w:eastAsia="宋体"/>
          <w:b/>
          <w:lang w:eastAsia="zh-CN"/>
        </w:rPr>
      </w:pPr>
      <w:r>
        <w:rPr>
          <w:rFonts w:hint="eastAsia" w:ascii="宋体" w:hAnsi="宋体" w:cs="新宋体-18030"/>
          <w:bCs/>
          <w:spacing w:val="8"/>
          <w:szCs w:val="21"/>
        </w:rPr>
        <w:t xml:space="preserve">1.5.1 </w:t>
      </w:r>
      <w:r>
        <w:rPr>
          <w:rFonts w:ascii="宋体" w:hAnsi="宋体" w:cs="新宋体-18030"/>
          <w:bCs/>
          <w:spacing w:val="8"/>
          <w:szCs w:val="21"/>
        </w:rPr>
        <w:t>具有独立的法人资格及年检有效的营业执照；</w:t>
      </w:r>
      <w:r>
        <w:rPr>
          <w:rFonts w:hint="eastAsia" w:cs="Arial Unicode MS"/>
          <w:snapToGrid w:val="0"/>
        </w:rPr>
        <w:t>具有独立承担民事责任的能力</w:t>
      </w:r>
      <w:r>
        <w:rPr>
          <w:rFonts w:hint="eastAsia" w:cs="Arial Unicode MS"/>
          <w:snapToGrid w:val="0"/>
          <w:lang w:eastAsia="zh-CN"/>
        </w:rPr>
        <w:t>。</w:t>
      </w:r>
    </w:p>
    <w:p w14:paraId="0938B1F3">
      <w:pPr>
        <w:spacing w:before="120" w:line="300" w:lineRule="auto"/>
        <w:ind w:firstLine="442" w:firstLineChars="196"/>
        <w:rPr>
          <w:rFonts w:ascii="宋体" w:hAnsi="宋体" w:cs="新宋体-18030"/>
          <w:bCs/>
          <w:spacing w:val="8"/>
          <w:szCs w:val="21"/>
        </w:rPr>
      </w:pPr>
      <w:r>
        <w:rPr>
          <w:rFonts w:hint="eastAsia" w:ascii="宋体" w:hAnsi="宋体" w:cs="新宋体-18030"/>
          <w:bCs/>
          <w:spacing w:val="8"/>
          <w:szCs w:val="21"/>
        </w:rPr>
        <w:t>1.5.2 招标人不接受投标人以组成联合体的形式投标。</w:t>
      </w:r>
    </w:p>
    <w:p w14:paraId="680650B5">
      <w:pPr>
        <w:spacing w:line="300" w:lineRule="auto"/>
        <w:rPr>
          <w:rFonts w:ascii="黑体" w:eastAsia="黑体"/>
          <w:b/>
          <w:sz w:val="28"/>
        </w:rPr>
      </w:pPr>
      <w:r>
        <w:rPr>
          <w:rFonts w:hint="eastAsia" w:ascii="黑体" w:eastAsia="黑体"/>
          <w:b/>
          <w:sz w:val="28"/>
        </w:rPr>
        <w:t xml:space="preserve">   2</w:t>
      </w:r>
      <w:r>
        <w:rPr>
          <w:rFonts w:hint="eastAsia" w:ascii="黑体" w:eastAsia="黑体"/>
          <w:b/>
          <w:sz w:val="28"/>
          <w:lang w:eastAsia="zh-CN"/>
        </w:rPr>
        <w:t>、</w:t>
      </w:r>
      <w:r>
        <w:rPr>
          <w:rFonts w:hint="eastAsia" w:ascii="黑体" w:eastAsia="黑体"/>
          <w:b/>
          <w:sz w:val="28"/>
        </w:rPr>
        <w:t>投标文件的编制与密封</w:t>
      </w:r>
    </w:p>
    <w:p w14:paraId="073CED27">
      <w:pPr>
        <w:spacing w:before="120" w:line="300" w:lineRule="auto"/>
        <w:rPr>
          <w:rFonts w:ascii="宋体"/>
          <w:b/>
        </w:rPr>
      </w:pPr>
      <w:r>
        <w:rPr>
          <w:rFonts w:hint="eastAsia" w:ascii="宋体"/>
          <w:b/>
        </w:rPr>
        <w:t xml:space="preserve">    2.1 组成投标文件的内容</w:t>
      </w:r>
    </w:p>
    <w:p w14:paraId="038776EE">
      <w:pPr>
        <w:tabs>
          <w:tab w:val="left" w:pos="426"/>
        </w:tabs>
        <w:spacing w:before="120" w:line="300" w:lineRule="auto"/>
        <w:rPr>
          <w:rFonts w:ascii="宋体"/>
          <w:b/>
        </w:rPr>
      </w:pPr>
      <w:r>
        <w:rPr>
          <w:rFonts w:hint="eastAsia" w:ascii="宋体"/>
          <w:b/>
        </w:rPr>
        <w:t xml:space="preserve">     </w:t>
      </w:r>
      <w:r>
        <w:rPr>
          <w:rFonts w:hint="eastAsia" w:ascii="宋体"/>
        </w:rPr>
        <w:t>投标人的投标文件应包括但不限于下列各项：</w:t>
      </w:r>
    </w:p>
    <w:tbl>
      <w:tblPr>
        <w:tblStyle w:val="26"/>
        <w:tblW w:w="864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7380"/>
      </w:tblGrid>
      <w:tr w14:paraId="441CF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0" w:type="dxa"/>
            <w:gridSpan w:val="2"/>
            <w:vAlign w:val="center"/>
          </w:tcPr>
          <w:p w14:paraId="260C48C8">
            <w:pPr>
              <w:spacing w:line="360" w:lineRule="auto"/>
              <w:jc w:val="center"/>
              <w:rPr>
                <w:rFonts w:ascii="宋体"/>
                <w:b/>
              </w:rPr>
            </w:pPr>
            <w:r>
              <w:rPr>
                <w:rFonts w:hint="eastAsia" w:ascii="宋体"/>
                <w:b/>
              </w:rPr>
              <w:t>投标文件</w:t>
            </w:r>
          </w:p>
        </w:tc>
      </w:tr>
      <w:tr w14:paraId="28F69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72D47423">
            <w:pPr>
              <w:spacing w:line="360" w:lineRule="auto"/>
              <w:jc w:val="center"/>
              <w:rPr>
                <w:rFonts w:ascii="宋体"/>
              </w:rPr>
            </w:pPr>
            <w:r>
              <w:rPr>
                <w:rFonts w:hint="eastAsia" w:ascii="宋体"/>
              </w:rPr>
              <w:t>第一部分</w:t>
            </w:r>
          </w:p>
        </w:tc>
        <w:tc>
          <w:tcPr>
            <w:tcW w:w="7380" w:type="dxa"/>
            <w:vAlign w:val="center"/>
          </w:tcPr>
          <w:p w14:paraId="3DE9172E">
            <w:pPr>
              <w:spacing w:line="360" w:lineRule="auto"/>
              <w:rPr>
                <w:rFonts w:ascii="宋体"/>
              </w:rPr>
            </w:pPr>
            <w:r>
              <w:rPr>
                <w:rFonts w:hint="eastAsia" w:ascii="宋体"/>
              </w:rPr>
              <w:t xml:space="preserve">投标书及其附录 </w:t>
            </w:r>
          </w:p>
        </w:tc>
      </w:tr>
      <w:tr w14:paraId="54BE2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446B9313">
            <w:pPr>
              <w:spacing w:line="360" w:lineRule="auto"/>
              <w:jc w:val="center"/>
              <w:rPr>
                <w:rFonts w:ascii="宋体"/>
              </w:rPr>
            </w:pPr>
            <w:r>
              <w:rPr>
                <w:rFonts w:hint="eastAsia" w:ascii="宋体"/>
              </w:rPr>
              <w:t>第二部分</w:t>
            </w:r>
          </w:p>
        </w:tc>
        <w:tc>
          <w:tcPr>
            <w:tcW w:w="7380" w:type="dxa"/>
            <w:vAlign w:val="center"/>
          </w:tcPr>
          <w:p w14:paraId="0FED51E6">
            <w:pPr>
              <w:spacing w:line="360" w:lineRule="auto"/>
              <w:rPr>
                <w:rFonts w:ascii="宋体"/>
              </w:rPr>
            </w:pPr>
            <w:r>
              <w:rPr>
                <w:rFonts w:hint="eastAsia" w:ascii="宋体"/>
              </w:rPr>
              <w:t>法定代表人资格证明书、授权委托书（限原件）</w:t>
            </w:r>
          </w:p>
        </w:tc>
      </w:tr>
      <w:tr w14:paraId="06230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7022A470">
            <w:pPr>
              <w:spacing w:line="360" w:lineRule="auto"/>
              <w:jc w:val="center"/>
              <w:rPr>
                <w:rFonts w:ascii="宋体"/>
              </w:rPr>
            </w:pPr>
            <w:r>
              <w:rPr>
                <w:rFonts w:hint="eastAsia" w:ascii="宋体"/>
              </w:rPr>
              <w:t>第三部分</w:t>
            </w:r>
          </w:p>
        </w:tc>
        <w:tc>
          <w:tcPr>
            <w:tcW w:w="7380" w:type="dxa"/>
            <w:vAlign w:val="center"/>
          </w:tcPr>
          <w:p w14:paraId="2CB492CC">
            <w:pPr>
              <w:spacing w:line="360" w:lineRule="auto"/>
              <w:rPr>
                <w:rFonts w:ascii="宋体"/>
              </w:rPr>
            </w:pPr>
            <w:r>
              <w:rPr>
                <w:rFonts w:hint="eastAsia" w:ascii="宋体"/>
              </w:rPr>
              <w:t>报价说明</w:t>
            </w:r>
          </w:p>
        </w:tc>
      </w:tr>
      <w:tr w14:paraId="3A783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0" w:type="dxa"/>
            <w:vAlign w:val="center"/>
          </w:tcPr>
          <w:p w14:paraId="10B30F84">
            <w:pPr>
              <w:spacing w:line="360" w:lineRule="auto"/>
              <w:jc w:val="center"/>
              <w:rPr>
                <w:rFonts w:ascii="宋体"/>
              </w:rPr>
            </w:pPr>
            <w:r>
              <w:rPr>
                <w:rFonts w:hint="eastAsia" w:ascii="宋体"/>
              </w:rPr>
              <w:t>第四部分</w:t>
            </w:r>
          </w:p>
        </w:tc>
        <w:tc>
          <w:tcPr>
            <w:tcW w:w="7380" w:type="dxa"/>
            <w:vAlign w:val="center"/>
          </w:tcPr>
          <w:p w14:paraId="4F727E3C">
            <w:pPr>
              <w:spacing w:line="360" w:lineRule="auto"/>
              <w:rPr>
                <w:rFonts w:ascii="宋体"/>
              </w:rPr>
            </w:pPr>
            <w:r>
              <w:rPr>
                <w:rFonts w:hint="eastAsia" w:ascii="宋体"/>
              </w:rPr>
              <w:t>技术参数偏离表</w:t>
            </w:r>
          </w:p>
        </w:tc>
      </w:tr>
    </w:tbl>
    <w:p w14:paraId="1BEB9C12">
      <w:pPr>
        <w:spacing w:before="120" w:line="300" w:lineRule="auto"/>
        <w:ind w:firstLine="420"/>
        <w:rPr>
          <w:rFonts w:ascii="宋体"/>
          <w:b/>
        </w:rPr>
      </w:pPr>
      <w:r>
        <w:rPr>
          <w:rFonts w:hint="eastAsia" w:ascii="宋体"/>
          <w:b/>
        </w:rPr>
        <w:t>2.2 投标报价</w:t>
      </w:r>
    </w:p>
    <w:p w14:paraId="4BDB9400">
      <w:pPr>
        <w:spacing w:line="440" w:lineRule="exact"/>
        <w:ind w:firstLine="420"/>
      </w:pPr>
      <w:r>
        <w:rPr>
          <w:rFonts w:hint="eastAsia" w:ascii="宋体"/>
        </w:rPr>
        <w:t xml:space="preserve">2.2.1 </w:t>
      </w:r>
      <w:r>
        <w:rPr>
          <w:rFonts w:hint="eastAsia"/>
        </w:rPr>
        <w:t>投标人对项目的各项报价必须以招标文件现状为依据。</w:t>
      </w:r>
    </w:p>
    <w:p w14:paraId="1FDCB327">
      <w:pPr>
        <w:tabs>
          <w:tab w:val="left" w:pos="900"/>
        </w:tabs>
        <w:spacing w:line="440" w:lineRule="exact"/>
        <w:ind w:firstLine="420" w:firstLineChars="200"/>
      </w:pPr>
      <w:r>
        <w:rPr>
          <w:rFonts w:hint="eastAsia" w:ascii="宋体"/>
        </w:rPr>
        <w:t>2.2.2</w:t>
      </w:r>
      <w:r>
        <w:rPr>
          <w:rFonts w:hint="eastAsia"/>
        </w:rPr>
        <w:t>投标人须认真阅读理解招标文件，特别是有关责任权利规定、计量计价规定，按照招标文件的要求填报投标文件。</w:t>
      </w:r>
    </w:p>
    <w:p w14:paraId="40E3A363">
      <w:pPr>
        <w:tabs>
          <w:tab w:val="left" w:pos="900"/>
        </w:tabs>
        <w:spacing w:line="440" w:lineRule="exact"/>
        <w:ind w:firstLine="420" w:firstLineChars="200"/>
      </w:pPr>
      <w:r>
        <w:rPr>
          <w:b/>
        </w:rPr>
        <w:t>2.3投标文件的密封</w:t>
      </w:r>
    </w:p>
    <w:p w14:paraId="28AFDABD">
      <w:pPr>
        <w:spacing w:line="480" w:lineRule="exact"/>
        <w:ind w:firstLine="420" w:firstLineChars="200"/>
      </w:pPr>
      <w:r>
        <w:t>2.3.</w:t>
      </w:r>
      <w:r>
        <w:rPr>
          <w:rFonts w:hint="eastAsia"/>
        </w:rPr>
        <w:t>1</w:t>
      </w:r>
      <w:r>
        <w:rPr>
          <w:szCs w:val="21"/>
        </w:rPr>
        <w:t>投标文件要求装订成册，一式三份，其中正本一份（双面打印）、副本二份（若正本与副本不符，以正本为准；副本可采用正本的复印件）；</w:t>
      </w:r>
    </w:p>
    <w:p w14:paraId="67477196">
      <w:pPr>
        <w:spacing w:line="480" w:lineRule="exact"/>
        <w:ind w:firstLine="420" w:firstLineChars="200"/>
      </w:pPr>
      <w:r>
        <w:t>2.3.</w:t>
      </w:r>
      <w:r>
        <w:rPr>
          <w:rFonts w:hint="eastAsia"/>
        </w:rPr>
        <w:t>2</w:t>
      </w:r>
      <w:r>
        <w:t>投标文件须密封包装，并在袋上注明工程名称以及投标人名称，密封处加盖骑缝章（投标单位公章）。</w:t>
      </w:r>
    </w:p>
    <w:p w14:paraId="2C9716CE">
      <w:pPr>
        <w:spacing w:line="480" w:lineRule="exact"/>
        <w:ind w:firstLine="420" w:firstLineChars="200"/>
      </w:pPr>
      <w:r>
        <w:t>2.3.</w:t>
      </w:r>
      <w:r>
        <w:rPr>
          <w:rFonts w:hint="eastAsia"/>
        </w:rPr>
        <w:t>3</w:t>
      </w:r>
      <w:r>
        <w:t>投标书充分响应招标书</w:t>
      </w:r>
      <w:r>
        <w:rPr>
          <w:rFonts w:hint="eastAsia"/>
        </w:rPr>
        <w:t>；</w:t>
      </w:r>
    </w:p>
    <w:p w14:paraId="65673F10">
      <w:pPr>
        <w:tabs>
          <w:tab w:val="left" w:pos="900"/>
        </w:tabs>
        <w:spacing w:line="480" w:lineRule="exact"/>
        <w:ind w:firstLine="420" w:firstLineChars="200"/>
      </w:pPr>
      <w:r>
        <w:t>2.3.</w:t>
      </w:r>
      <w:r>
        <w:rPr>
          <w:rFonts w:hint="eastAsia"/>
        </w:rPr>
        <w:t>4</w:t>
      </w:r>
      <w:r>
        <w:t>招标人对投标文件未装订成册及不可抗力事件造成文件损坏、丢失不承担任何责任；</w:t>
      </w:r>
    </w:p>
    <w:p w14:paraId="6605037A">
      <w:pPr>
        <w:spacing w:line="300" w:lineRule="auto"/>
        <w:rPr>
          <w:rFonts w:hint="eastAsia" w:ascii="黑体" w:eastAsia="黑体"/>
          <w:b/>
          <w:sz w:val="28"/>
        </w:rPr>
      </w:pPr>
      <w:r>
        <w:rPr>
          <w:rFonts w:hint="eastAsia" w:ascii="黑体" w:eastAsia="黑体"/>
          <w:b/>
          <w:sz w:val="28"/>
        </w:rPr>
        <w:t xml:space="preserve">   3</w:t>
      </w:r>
      <w:r>
        <w:rPr>
          <w:rFonts w:hint="eastAsia" w:ascii="黑体" w:eastAsia="黑体"/>
          <w:b/>
          <w:sz w:val="28"/>
          <w:lang w:eastAsia="zh-CN"/>
        </w:rPr>
        <w:t>、</w:t>
      </w:r>
      <w:r>
        <w:rPr>
          <w:rFonts w:hint="eastAsia" w:ascii="黑体" w:eastAsia="黑体"/>
          <w:b/>
          <w:sz w:val="28"/>
        </w:rPr>
        <w:t>合同签署及费用支付</w:t>
      </w:r>
    </w:p>
    <w:p w14:paraId="254A478E">
      <w:pPr>
        <w:spacing w:before="120" w:line="300" w:lineRule="auto"/>
        <w:ind w:firstLine="420"/>
        <w:rPr>
          <w:rFonts w:ascii="宋体"/>
          <w:b/>
        </w:rPr>
      </w:pPr>
      <w:r>
        <w:rPr>
          <w:rFonts w:hint="eastAsia" w:ascii="宋体"/>
          <w:b/>
        </w:rPr>
        <w:t>3.1 中标通知</w:t>
      </w:r>
    </w:p>
    <w:p w14:paraId="49785784">
      <w:pPr>
        <w:spacing w:line="400" w:lineRule="exact"/>
        <w:ind w:firstLine="420" w:firstLineChars="200"/>
        <w:rPr>
          <w:rFonts w:ascii="宋体"/>
        </w:rPr>
      </w:pPr>
      <w:r>
        <w:rPr>
          <w:rFonts w:hint="eastAsia" w:ascii="宋体"/>
        </w:rPr>
        <w:t>3.1.</w:t>
      </w:r>
      <w:r>
        <w:rPr>
          <w:rFonts w:ascii="宋体"/>
        </w:rPr>
        <w:t>1</w:t>
      </w:r>
      <w:r>
        <w:rPr>
          <w:rFonts w:hint="eastAsia" w:ascii="宋体"/>
        </w:rPr>
        <w:t>开标结果公告5天无异议后发出中标通知书。招标人将以电话形式通知中标单位。对未中标的投标人，招标人有权不作任何解释。</w:t>
      </w:r>
    </w:p>
    <w:p w14:paraId="4244C005">
      <w:pPr>
        <w:spacing w:before="120" w:line="300" w:lineRule="auto"/>
        <w:ind w:firstLine="420"/>
        <w:rPr>
          <w:rFonts w:ascii="宋体"/>
          <w:b/>
        </w:rPr>
      </w:pPr>
      <w:r>
        <w:rPr>
          <w:rFonts w:hint="eastAsia" w:ascii="宋体"/>
          <w:b/>
        </w:rPr>
        <w:t>3.2 合同的签署</w:t>
      </w:r>
    </w:p>
    <w:p w14:paraId="31397A9A">
      <w:pPr>
        <w:spacing w:line="440" w:lineRule="exact"/>
        <w:ind w:firstLine="420"/>
        <w:rPr>
          <w:rFonts w:ascii="宋体"/>
        </w:rPr>
      </w:pPr>
      <w:r>
        <w:rPr>
          <w:rFonts w:hint="eastAsia" w:ascii="宋体"/>
        </w:rPr>
        <w:t>3.2.1中标人在收到中标通知后立即派出全权代表与招标人签署合同协议书。</w:t>
      </w:r>
    </w:p>
    <w:p w14:paraId="7B938729">
      <w:pPr>
        <w:spacing w:line="440" w:lineRule="exact"/>
        <w:ind w:firstLine="420"/>
        <w:rPr>
          <w:rFonts w:ascii="宋体"/>
        </w:rPr>
      </w:pPr>
      <w:r>
        <w:rPr>
          <w:rFonts w:hint="eastAsia" w:ascii="宋体"/>
          <w:b/>
        </w:rPr>
        <w:t>3.3 费用支付</w:t>
      </w:r>
    </w:p>
    <w:p w14:paraId="2EEB15B8">
      <w:pPr>
        <w:spacing w:line="440" w:lineRule="exact"/>
        <w:ind w:firstLine="42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3.3.1 最终合同签订实行大包干。</w:t>
      </w:r>
    </w:p>
    <w:p w14:paraId="00BF2C30">
      <w:pPr>
        <w:spacing w:line="440" w:lineRule="exact"/>
        <w:ind w:firstLine="420"/>
        <w:rPr>
          <w:rFonts w:ascii="宋体"/>
        </w:rPr>
      </w:pPr>
      <w:r>
        <w:rPr>
          <w:rFonts w:hint="eastAsia" w:ascii="宋体"/>
        </w:rPr>
        <w:t>3.3.2 合同质保期为：</w:t>
      </w:r>
      <w:bookmarkStart w:id="2" w:name="_GoBack"/>
      <w:bookmarkEnd w:id="2"/>
      <w:r>
        <w:rPr>
          <w:rFonts w:hint="eastAsia" w:ascii="宋体"/>
          <w:lang w:val="en-US" w:eastAsia="zh-CN"/>
        </w:rPr>
        <w:t>2</w:t>
      </w:r>
      <w:r>
        <w:rPr>
          <w:rFonts w:hint="eastAsia" w:ascii="宋体"/>
        </w:rPr>
        <w:t>年；</w:t>
      </w:r>
    </w:p>
    <w:p w14:paraId="28FC6B3E">
      <w:pPr>
        <w:spacing w:line="440" w:lineRule="exact"/>
        <w:ind w:firstLine="420"/>
        <w:rPr>
          <w:rFonts w:ascii="宋体"/>
        </w:rPr>
      </w:pPr>
      <w:r>
        <w:rPr>
          <w:rFonts w:hint="eastAsia" w:ascii="宋体"/>
        </w:rPr>
        <w:t>3.3.3付款方式：</w:t>
      </w:r>
      <w:r>
        <w:t>本项目不设预付款</w:t>
      </w:r>
      <w:r>
        <w:rPr>
          <w:rFonts w:hint="eastAsia"/>
        </w:rPr>
        <w:t>，</w:t>
      </w:r>
      <w:r>
        <w:rPr>
          <w:rFonts w:hint="eastAsia"/>
          <w:lang w:val="en-US" w:eastAsia="zh-CN"/>
        </w:rPr>
        <w:t>项目</w:t>
      </w:r>
      <w:r>
        <w:t>验收合格</w:t>
      </w:r>
      <w:r>
        <w:rPr>
          <w:rFonts w:hint="eastAsia"/>
        </w:rPr>
        <w:t>后乙方支付合同金额</w:t>
      </w:r>
      <w:r>
        <w:rPr>
          <w:rFonts w:hint="eastAsia" w:hAnsi="宋体"/>
          <w:color w:val="000000"/>
          <w:szCs w:val="21"/>
        </w:rPr>
        <w:t>5%的履约保证金并提供全额发票给甲方，</w:t>
      </w:r>
      <w:r>
        <w:rPr>
          <w:rFonts w:hint="eastAsia"/>
        </w:rPr>
        <w:t>甲方在</w:t>
      </w:r>
      <w:r>
        <w:rPr>
          <w:u w:val="single"/>
        </w:rPr>
        <w:t xml:space="preserve"> 30</w:t>
      </w:r>
      <w:r>
        <w:t>天内支付</w:t>
      </w:r>
      <w:r>
        <w:rPr>
          <w:rFonts w:hint="eastAsia"/>
        </w:rPr>
        <w:t>合同金额</w:t>
      </w:r>
      <w:r>
        <w:t>的</w:t>
      </w:r>
      <w:r>
        <w:rPr>
          <w:rFonts w:hint="eastAsia"/>
          <w:u w:val="single"/>
        </w:rPr>
        <w:t>100</w:t>
      </w:r>
      <w:r>
        <w:rPr>
          <w:u w:val="single"/>
        </w:rPr>
        <w:t>%</w:t>
      </w:r>
      <w:r>
        <w:t>，</w:t>
      </w:r>
      <w:r>
        <w:rPr>
          <w:rFonts w:hint="eastAsia" w:hAnsi="宋体"/>
          <w:color w:val="000000"/>
          <w:szCs w:val="21"/>
        </w:rPr>
        <w:t>5%履约保证金</w:t>
      </w:r>
      <w:r>
        <w:rPr>
          <w:rFonts w:hint="eastAsia"/>
        </w:rPr>
        <w:t>在验收合格1年后无息</w:t>
      </w:r>
      <w:r>
        <w:t>付清。</w:t>
      </w:r>
    </w:p>
    <w:p w14:paraId="29CB115C">
      <w:pPr>
        <w:spacing w:line="440" w:lineRule="exact"/>
        <w:ind w:firstLine="420"/>
        <w:rPr>
          <w:rFonts w:ascii="宋体"/>
        </w:rPr>
      </w:pPr>
      <w:r>
        <w:rPr>
          <w:rFonts w:hint="eastAsia" w:ascii="宋体"/>
        </w:rPr>
        <w:t xml:space="preserve">3.3.4 </w:t>
      </w:r>
      <w:r>
        <w:rPr>
          <w:rFonts w:hint="eastAsia" w:ascii="宋体"/>
          <w:lang w:val="en-US" w:eastAsia="zh-CN"/>
        </w:rPr>
        <w:t>工</w:t>
      </w:r>
      <w:r>
        <w:rPr>
          <w:rFonts w:hint="eastAsia" w:ascii="宋体"/>
        </w:rPr>
        <w:t>期：合同签订后30个自然日内完工。</w:t>
      </w:r>
    </w:p>
    <w:p w14:paraId="79CFE917">
      <w:pPr>
        <w:spacing w:line="300" w:lineRule="auto"/>
        <w:rPr>
          <w:rFonts w:hint="eastAsia" w:ascii="黑体" w:eastAsia="黑体"/>
          <w:b/>
          <w:sz w:val="28"/>
        </w:rPr>
      </w:pPr>
      <w:r>
        <w:rPr>
          <w:rFonts w:hint="eastAsia" w:ascii="黑体" w:eastAsia="黑体"/>
          <w:b/>
          <w:sz w:val="28"/>
        </w:rPr>
        <w:t>4</w:t>
      </w:r>
      <w:r>
        <w:rPr>
          <w:rFonts w:hint="eastAsia" w:ascii="黑体" w:eastAsia="黑体"/>
          <w:b/>
          <w:sz w:val="28"/>
          <w:lang w:eastAsia="zh-CN"/>
        </w:rPr>
        <w:t>、</w:t>
      </w:r>
      <w:r>
        <w:rPr>
          <w:rFonts w:hint="eastAsia" w:ascii="黑体" w:eastAsia="黑体"/>
          <w:b/>
          <w:sz w:val="28"/>
        </w:rPr>
        <w:t>验收与保修</w:t>
      </w:r>
    </w:p>
    <w:p w14:paraId="18377758">
      <w:pPr>
        <w:spacing w:line="440" w:lineRule="exact"/>
        <w:ind w:firstLine="420"/>
        <w:rPr>
          <w:rFonts w:ascii="宋体"/>
        </w:rPr>
      </w:pPr>
      <w:r>
        <w:rPr>
          <w:rFonts w:hint="eastAsia" w:ascii="宋体"/>
        </w:rPr>
        <w:t>4.1</w:t>
      </w:r>
      <w:r>
        <w:rPr>
          <w:rFonts w:hint="eastAsia" w:ascii="宋体"/>
          <w:lang w:val="en-US" w:eastAsia="zh-CN"/>
        </w:rPr>
        <w:t>项目</w:t>
      </w:r>
      <w:r>
        <w:rPr>
          <w:rFonts w:hint="eastAsia" w:ascii="宋体"/>
        </w:rPr>
        <w:t>验收按招、投标文件要求如期完工后，需经相关人员、相关部门按国家规范进行验收。验收合格日为竣工日期，并按规定执行保修期，从当日起到保修期满</w:t>
      </w:r>
      <w:r>
        <w:rPr>
          <w:rFonts w:hint="eastAsia" w:ascii="宋体"/>
          <w:lang w:val="en-US" w:eastAsia="zh-CN"/>
        </w:rPr>
        <w:t>不少于贰</w:t>
      </w:r>
      <w:r>
        <w:rPr>
          <w:rFonts w:hint="eastAsia" w:ascii="宋体"/>
        </w:rPr>
        <w:t>年。</w:t>
      </w:r>
    </w:p>
    <w:p w14:paraId="28FD68DC">
      <w:pPr>
        <w:spacing w:line="300" w:lineRule="auto"/>
        <w:rPr>
          <w:rFonts w:hint="eastAsia" w:ascii="黑体" w:eastAsia="黑体"/>
          <w:b/>
          <w:sz w:val="28"/>
        </w:rPr>
      </w:pPr>
      <w:r>
        <w:rPr>
          <w:rFonts w:hint="eastAsia" w:ascii="黑体" w:eastAsia="黑体"/>
          <w:b/>
          <w:sz w:val="28"/>
        </w:rPr>
        <w:t>5、招投标廉政警示栏信息</w:t>
      </w:r>
    </w:p>
    <w:p w14:paraId="51AA36A1">
      <w:pPr>
        <w:spacing w:line="440" w:lineRule="exact"/>
        <w:ind w:firstLine="420"/>
        <w:rPr>
          <w:rFonts w:ascii="宋体"/>
        </w:rPr>
      </w:pPr>
      <w:r>
        <w:rPr>
          <w:rFonts w:hint="eastAsia" w:ascii="宋体"/>
        </w:rPr>
        <w:t>招标人禁止员工利用职务之便以个人名义接受供货商一切形式的礼品、礼金、宴请等，杜绝一切形式的侵占、索贿、受贿、挪用、渎职、诈骗、泄密等行为。若招标人所属员工或合作商发现上述行为，请立即向招标人综合部举报。</w:t>
      </w:r>
    </w:p>
    <w:p w14:paraId="11E59816">
      <w:pPr>
        <w:spacing w:line="440" w:lineRule="exact"/>
        <w:ind w:firstLine="420"/>
        <w:rPr>
          <w:rFonts w:ascii="宋体"/>
        </w:rPr>
      </w:pPr>
      <w:r>
        <w:rPr>
          <w:rFonts w:hint="eastAsia" w:ascii="宋体"/>
        </w:rPr>
        <w:t>招标人总经办举报联系方式：</w:t>
      </w:r>
    </w:p>
    <w:p w14:paraId="6CAF5045">
      <w:pPr>
        <w:spacing w:line="440" w:lineRule="exact"/>
        <w:ind w:firstLine="420"/>
        <w:rPr>
          <w:rFonts w:hint="default" w:ascii="宋体" w:eastAsia="宋体"/>
          <w:lang w:val="en-US" w:eastAsia="zh-CN"/>
        </w:rPr>
      </w:pPr>
      <w:r>
        <w:rPr>
          <w:rFonts w:hint="eastAsia" w:ascii="宋体"/>
        </w:rPr>
        <w:t>电话：</w:t>
      </w:r>
      <w:r>
        <w:rPr>
          <w:szCs w:val="21"/>
        </w:rPr>
        <w:t>0755-839</w:t>
      </w:r>
      <w:r>
        <w:rPr>
          <w:rFonts w:hint="eastAsia"/>
          <w:szCs w:val="21"/>
          <w:lang w:val="en-US" w:eastAsia="zh-CN"/>
        </w:rPr>
        <w:t>23333-3322</w:t>
      </w:r>
    </w:p>
    <w:p w14:paraId="2E9899F3">
      <w:pPr>
        <w:spacing w:line="440" w:lineRule="exact"/>
        <w:ind w:firstLine="420"/>
        <w:rPr>
          <w:rFonts w:ascii="宋体"/>
        </w:rPr>
      </w:pPr>
      <w:r>
        <w:rPr>
          <w:rFonts w:hint="eastAsia" w:ascii="宋体"/>
        </w:rPr>
        <w:t>邮箱：</w:t>
      </w:r>
      <w:r>
        <w:fldChar w:fldCharType="begin"/>
      </w:r>
      <w:r>
        <w:instrText xml:space="preserve"> HYPERLINK "mailto:general@sphmc.org" </w:instrText>
      </w:r>
      <w:r>
        <w:fldChar w:fldCharType="separate"/>
      </w:r>
      <w:r>
        <w:rPr>
          <w:rStyle w:val="32"/>
          <w:szCs w:val="21"/>
        </w:rPr>
        <w:t>general@sphmc.org</w:t>
      </w:r>
      <w:r>
        <w:rPr>
          <w:rStyle w:val="32"/>
          <w:szCs w:val="21"/>
        </w:rPr>
        <w:fldChar w:fldCharType="end"/>
      </w:r>
    </w:p>
    <w:p w14:paraId="3812341C">
      <w:pPr>
        <w:spacing w:line="440" w:lineRule="exact"/>
        <w:ind w:firstLine="420"/>
        <w:rPr>
          <w:rFonts w:ascii="宋体"/>
          <w:b/>
          <w:bCs/>
          <w:sz w:val="28"/>
          <w:szCs w:val="28"/>
        </w:rPr>
      </w:pPr>
    </w:p>
    <w:p w14:paraId="19BDA358">
      <w:pPr>
        <w:spacing w:line="300" w:lineRule="auto"/>
        <w:rPr>
          <w:rFonts w:hint="eastAsia" w:ascii="黑体" w:eastAsia="黑体"/>
          <w:b/>
          <w:sz w:val="28"/>
        </w:rPr>
      </w:pPr>
      <w:r>
        <w:rPr>
          <w:rFonts w:hint="eastAsia" w:ascii="黑体" w:eastAsia="黑体"/>
          <w:b/>
          <w:sz w:val="28"/>
        </w:rPr>
        <w:t>6</w:t>
      </w:r>
      <w:r>
        <w:rPr>
          <w:rFonts w:hint="eastAsia" w:ascii="黑体" w:eastAsia="黑体"/>
          <w:b/>
          <w:sz w:val="28"/>
          <w:lang w:eastAsia="zh-CN"/>
        </w:rPr>
        <w:t>、</w:t>
      </w:r>
      <w:r>
        <w:rPr>
          <w:rFonts w:hint="eastAsia" w:ascii="黑体" w:eastAsia="黑体"/>
          <w:b/>
          <w:sz w:val="28"/>
        </w:rPr>
        <w:t>评分标准</w:t>
      </w:r>
    </w:p>
    <w:p w14:paraId="61601FF2">
      <w:pPr>
        <w:spacing w:line="360" w:lineRule="auto"/>
        <w:ind w:firstLine="630" w:firstLineChars="300"/>
        <w:rPr>
          <w:rFonts w:hint="eastAsia"/>
          <w:snapToGrid w:val="0"/>
          <w:kern w:val="0"/>
        </w:rPr>
      </w:pPr>
      <w:r>
        <w:rPr>
          <w:rFonts w:hint="eastAsia"/>
          <w:snapToGrid w:val="0"/>
          <w:kern w:val="0"/>
        </w:rPr>
        <w:t>评委会在评标时，应按照以下量化的评审因素，对各投标文件进行分析和比较：</w:t>
      </w:r>
    </w:p>
    <w:tbl>
      <w:tblPr>
        <w:tblStyle w:val="26"/>
        <w:tblW w:w="974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54"/>
        <w:gridCol w:w="1143"/>
        <w:gridCol w:w="709"/>
        <w:gridCol w:w="5953"/>
        <w:gridCol w:w="1187"/>
      </w:tblGrid>
      <w:tr w14:paraId="7ED4BE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3" w:hRule="atLeast"/>
          <w:jc w:val="center"/>
        </w:trPr>
        <w:tc>
          <w:tcPr>
            <w:tcW w:w="8559" w:type="dxa"/>
            <w:gridSpan w:val="4"/>
            <w:noWrap w:val="0"/>
            <w:vAlign w:val="center"/>
          </w:tcPr>
          <w:p w14:paraId="5F60DD96">
            <w:pPr>
              <w:autoSpaceDE w:val="0"/>
              <w:autoSpaceDN w:val="0"/>
              <w:adjustRightInd w:val="0"/>
              <w:spacing w:line="360" w:lineRule="exact"/>
              <w:jc w:val="center"/>
              <w:rPr>
                <w:rFonts w:cs="仿宋"/>
                <w:b/>
                <w:lang w:val="zh-CN"/>
              </w:rPr>
            </w:pPr>
            <w:r>
              <w:rPr>
                <w:rFonts w:hint="eastAsia" w:cs="仿宋"/>
                <w:b/>
                <w:lang w:val="zh-CN"/>
              </w:rPr>
              <w:t>评分项及评分规则</w:t>
            </w:r>
          </w:p>
        </w:tc>
        <w:tc>
          <w:tcPr>
            <w:tcW w:w="1187" w:type="dxa"/>
            <w:noWrap w:val="0"/>
            <w:vAlign w:val="center"/>
          </w:tcPr>
          <w:p w14:paraId="6102884C">
            <w:pPr>
              <w:autoSpaceDE w:val="0"/>
              <w:autoSpaceDN w:val="0"/>
              <w:adjustRightInd w:val="0"/>
              <w:spacing w:line="360" w:lineRule="exact"/>
              <w:jc w:val="center"/>
              <w:rPr>
                <w:rFonts w:cs="仿宋"/>
                <w:b/>
                <w:lang w:val="zh-CN"/>
              </w:rPr>
            </w:pPr>
            <w:r>
              <w:rPr>
                <w:rFonts w:hint="eastAsia" w:cs="仿宋"/>
                <w:b/>
                <w:lang w:val="zh-CN"/>
              </w:rPr>
              <w:t>权重</w:t>
            </w:r>
          </w:p>
        </w:tc>
      </w:tr>
      <w:tr w14:paraId="29C8AC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8" w:hRule="atLeast"/>
          <w:jc w:val="center"/>
        </w:trPr>
        <w:tc>
          <w:tcPr>
            <w:tcW w:w="8559" w:type="dxa"/>
            <w:gridSpan w:val="4"/>
            <w:noWrap w:val="0"/>
            <w:vAlign w:val="center"/>
          </w:tcPr>
          <w:p w14:paraId="2E97572B">
            <w:pPr>
              <w:autoSpaceDE w:val="0"/>
              <w:autoSpaceDN w:val="0"/>
              <w:adjustRightInd w:val="0"/>
              <w:spacing w:line="360" w:lineRule="exact"/>
              <w:jc w:val="center"/>
              <w:rPr>
                <w:rFonts w:cs="仿宋"/>
                <w:b/>
                <w:lang w:val="zh-CN"/>
              </w:rPr>
            </w:pPr>
            <w:r>
              <w:rPr>
                <w:rFonts w:hint="eastAsia" w:cs="仿宋"/>
                <w:b/>
                <w:lang w:val="zh-CN"/>
              </w:rPr>
              <w:t>一、价格部分</w:t>
            </w:r>
          </w:p>
        </w:tc>
        <w:tc>
          <w:tcPr>
            <w:tcW w:w="1187" w:type="dxa"/>
            <w:noWrap w:val="0"/>
            <w:vAlign w:val="center"/>
          </w:tcPr>
          <w:p w14:paraId="2199630A">
            <w:pPr>
              <w:autoSpaceDE w:val="0"/>
              <w:autoSpaceDN w:val="0"/>
              <w:adjustRightInd w:val="0"/>
              <w:spacing w:line="360" w:lineRule="exact"/>
              <w:jc w:val="center"/>
              <w:rPr>
                <w:rFonts w:cs="仿宋"/>
                <w:b/>
              </w:rPr>
            </w:pPr>
            <w:r>
              <w:rPr>
                <w:rFonts w:hint="eastAsia" w:cs="仿宋"/>
                <w:b/>
              </w:rPr>
              <w:t>30</w:t>
            </w:r>
          </w:p>
        </w:tc>
      </w:tr>
      <w:tr w14:paraId="0AE50E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1" w:hRule="atLeast"/>
          <w:jc w:val="center"/>
        </w:trPr>
        <w:tc>
          <w:tcPr>
            <w:tcW w:w="8559" w:type="dxa"/>
            <w:gridSpan w:val="4"/>
            <w:noWrap w:val="0"/>
            <w:vAlign w:val="center"/>
          </w:tcPr>
          <w:p w14:paraId="459AF540">
            <w:pPr>
              <w:pStyle w:val="8"/>
              <w:rPr>
                <w:sz w:val="21"/>
                <w:szCs w:val="21"/>
              </w:rPr>
            </w:pPr>
            <w:r>
              <w:rPr>
                <w:rFonts w:hint="eastAsia"/>
                <w:sz w:val="21"/>
                <w:szCs w:val="21"/>
              </w:rPr>
              <w:t>价格计算公式为：</w:t>
            </w:r>
            <w:r>
              <w:rPr>
                <w:sz w:val="21"/>
                <w:szCs w:val="21"/>
              </w:rPr>
              <w:t>Sn</w:t>
            </w:r>
            <w:r>
              <w:rPr>
                <w:rFonts w:hint="eastAsia"/>
                <w:sz w:val="21"/>
                <w:szCs w:val="21"/>
              </w:rPr>
              <w:t>=</w:t>
            </w:r>
            <w:r>
              <w:rPr>
                <w:sz w:val="21"/>
                <w:szCs w:val="21"/>
              </w:rPr>
              <w:t>[1</w:t>
            </w:r>
            <w:r>
              <w:rPr>
                <w:rFonts w:hint="eastAsia"/>
                <w:sz w:val="21"/>
                <w:szCs w:val="21"/>
              </w:rPr>
              <w:t>-（</w:t>
            </w:r>
            <w:r>
              <w:rPr>
                <w:sz w:val="21"/>
                <w:szCs w:val="21"/>
              </w:rPr>
              <w:t>Sn</w:t>
            </w:r>
            <w:r>
              <w:rPr>
                <w:rFonts w:hint="eastAsia"/>
                <w:sz w:val="21"/>
                <w:szCs w:val="21"/>
              </w:rPr>
              <w:t>-</w:t>
            </w:r>
            <w:r>
              <w:rPr>
                <w:sz w:val="21"/>
                <w:szCs w:val="21"/>
              </w:rPr>
              <w:t>S1</w:t>
            </w:r>
            <w:r>
              <w:rPr>
                <w:rFonts w:hint="eastAsia"/>
                <w:sz w:val="21"/>
                <w:szCs w:val="21"/>
              </w:rPr>
              <w:t>）</w:t>
            </w:r>
            <w:r>
              <w:rPr>
                <w:sz w:val="21"/>
                <w:szCs w:val="21"/>
              </w:rPr>
              <w:t>/S1]</w:t>
            </w:r>
            <w:r>
              <w:rPr>
                <w:rFonts w:hint="eastAsia"/>
                <w:sz w:val="21"/>
                <w:szCs w:val="21"/>
              </w:rPr>
              <w:t>×30</w:t>
            </w:r>
          </w:p>
          <w:p w14:paraId="1D762F72">
            <w:pPr>
              <w:autoSpaceDE w:val="0"/>
              <w:autoSpaceDN w:val="0"/>
              <w:adjustRightInd w:val="0"/>
              <w:spacing w:line="360" w:lineRule="exact"/>
              <w:rPr>
                <w:b/>
                <w:bCs/>
                <w:snapToGrid w:val="0"/>
              </w:rPr>
            </w:pPr>
            <w:r>
              <w:rPr>
                <w:rFonts w:hint="eastAsia"/>
                <w:sz w:val="21"/>
                <w:szCs w:val="21"/>
              </w:rPr>
              <w:t>经评审的最低报价得满分，其余经评审的报价按比例计算得分</w:t>
            </w:r>
          </w:p>
        </w:tc>
        <w:tc>
          <w:tcPr>
            <w:tcW w:w="1187" w:type="dxa"/>
            <w:noWrap w:val="0"/>
            <w:vAlign w:val="center"/>
          </w:tcPr>
          <w:p w14:paraId="646A38E2">
            <w:pPr>
              <w:autoSpaceDE w:val="0"/>
              <w:autoSpaceDN w:val="0"/>
              <w:adjustRightInd w:val="0"/>
              <w:spacing w:line="360" w:lineRule="exact"/>
              <w:jc w:val="center"/>
              <w:rPr>
                <w:rFonts w:cs="仿宋"/>
              </w:rPr>
            </w:pPr>
            <w:r>
              <w:rPr>
                <w:rFonts w:hint="eastAsia" w:ascii="仿宋" w:hAnsi="仿宋" w:eastAsia="仿宋"/>
                <w:lang w:val="en-US" w:eastAsia="zh-CN"/>
              </w:rPr>
              <w:t>28</w:t>
            </w:r>
            <w:r>
              <w:rPr>
                <w:rFonts w:hint="eastAsia" w:ascii="仿宋" w:hAnsi="仿宋" w:eastAsia="仿宋"/>
              </w:rPr>
              <w:t>万以内按照公式计算，</w:t>
            </w:r>
            <w:r>
              <w:rPr>
                <w:rFonts w:ascii="仿宋" w:hAnsi="仿宋" w:eastAsia="仿宋"/>
              </w:rPr>
              <w:t>超出</w:t>
            </w:r>
            <w:r>
              <w:rPr>
                <w:rFonts w:hint="eastAsia" w:ascii="仿宋" w:hAnsi="仿宋" w:eastAsia="仿宋"/>
                <w:lang w:val="en-US" w:eastAsia="zh-CN"/>
              </w:rPr>
              <w:t>28</w:t>
            </w:r>
            <w:r>
              <w:rPr>
                <w:rFonts w:ascii="仿宋" w:hAnsi="仿宋" w:eastAsia="仿宋"/>
              </w:rPr>
              <w:t>万不得分</w:t>
            </w:r>
          </w:p>
        </w:tc>
      </w:tr>
      <w:tr w14:paraId="0871B7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8" w:hRule="atLeast"/>
          <w:jc w:val="center"/>
        </w:trPr>
        <w:tc>
          <w:tcPr>
            <w:tcW w:w="8559" w:type="dxa"/>
            <w:gridSpan w:val="4"/>
            <w:noWrap w:val="0"/>
            <w:vAlign w:val="center"/>
          </w:tcPr>
          <w:p w14:paraId="574BB08F">
            <w:pPr>
              <w:autoSpaceDE w:val="0"/>
              <w:autoSpaceDN w:val="0"/>
              <w:adjustRightInd w:val="0"/>
              <w:spacing w:line="360" w:lineRule="exact"/>
              <w:jc w:val="center"/>
              <w:rPr>
                <w:rFonts w:cs="仿宋"/>
                <w:b/>
              </w:rPr>
            </w:pPr>
            <w:r>
              <w:rPr>
                <w:rFonts w:hint="eastAsia" w:cs="仿宋"/>
                <w:b/>
              </w:rPr>
              <w:t>二、技术部分</w:t>
            </w:r>
          </w:p>
        </w:tc>
        <w:tc>
          <w:tcPr>
            <w:tcW w:w="1187" w:type="dxa"/>
            <w:noWrap w:val="0"/>
            <w:vAlign w:val="center"/>
          </w:tcPr>
          <w:p w14:paraId="5AEFEB2F">
            <w:pPr>
              <w:autoSpaceDE w:val="0"/>
              <w:autoSpaceDN w:val="0"/>
              <w:adjustRightInd w:val="0"/>
              <w:spacing w:line="360" w:lineRule="exact"/>
              <w:jc w:val="center"/>
              <w:rPr>
                <w:rFonts w:cs="仿宋"/>
                <w:b/>
              </w:rPr>
            </w:pPr>
            <w:r>
              <w:rPr>
                <w:rFonts w:cs="仿宋"/>
                <w:b/>
              </w:rPr>
              <w:t>55</w:t>
            </w:r>
          </w:p>
        </w:tc>
      </w:tr>
      <w:tr w14:paraId="3130CF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1" w:hRule="atLeast"/>
          <w:jc w:val="center"/>
        </w:trPr>
        <w:tc>
          <w:tcPr>
            <w:tcW w:w="754" w:type="dxa"/>
            <w:noWrap w:val="0"/>
            <w:vAlign w:val="center"/>
          </w:tcPr>
          <w:p w14:paraId="2952EFF6">
            <w:pPr>
              <w:autoSpaceDE w:val="0"/>
              <w:autoSpaceDN w:val="0"/>
              <w:adjustRightInd w:val="0"/>
              <w:spacing w:line="360" w:lineRule="exact"/>
              <w:jc w:val="center"/>
              <w:rPr>
                <w:rFonts w:cs="仿宋"/>
              </w:rPr>
            </w:pPr>
            <w:r>
              <w:rPr>
                <w:rFonts w:hint="eastAsia" w:cs="仿宋"/>
              </w:rPr>
              <w:t>序号</w:t>
            </w:r>
          </w:p>
        </w:tc>
        <w:tc>
          <w:tcPr>
            <w:tcW w:w="1143" w:type="dxa"/>
            <w:noWrap w:val="0"/>
            <w:vAlign w:val="center"/>
          </w:tcPr>
          <w:p w14:paraId="7A083AD8">
            <w:pPr>
              <w:autoSpaceDE w:val="0"/>
              <w:autoSpaceDN w:val="0"/>
              <w:adjustRightInd w:val="0"/>
              <w:spacing w:line="360" w:lineRule="exact"/>
              <w:jc w:val="center"/>
              <w:rPr>
                <w:rFonts w:cs="仿宋"/>
              </w:rPr>
            </w:pPr>
            <w:r>
              <w:rPr>
                <w:rFonts w:hint="eastAsia" w:cs="仿宋"/>
              </w:rPr>
              <w:t>内容</w:t>
            </w:r>
          </w:p>
        </w:tc>
        <w:tc>
          <w:tcPr>
            <w:tcW w:w="709" w:type="dxa"/>
            <w:noWrap w:val="0"/>
            <w:vAlign w:val="center"/>
          </w:tcPr>
          <w:p w14:paraId="5077DC8B">
            <w:pPr>
              <w:autoSpaceDE w:val="0"/>
              <w:autoSpaceDN w:val="0"/>
              <w:adjustRightInd w:val="0"/>
              <w:spacing w:line="360" w:lineRule="exact"/>
              <w:jc w:val="center"/>
              <w:rPr>
                <w:rFonts w:cs="仿宋"/>
              </w:rPr>
            </w:pPr>
            <w:r>
              <w:rPr>
                <w:rFonts w:hint="eastAsia" w:cs="仿宋"/>
              </w:rPr>
              <w:t>权重</w:t>
            </w:r>
          </w:p>
        </w:tc>
        <w:tc>
          <w:tcPr>
            <w:tcW w:w="5953" w:type="dxa"/>
            <w:noWrap w:val="0"/>
            <w:vAlign w:val="center"/>
          </w:tcPr>
          <w:p w14:paraId="1CA15621">
            <w:pPr>
              <w:autoSpaceDE w:val="0"/>
              <w:autoSpaceDN w:val="0"/>
              <w:adjustRightInd w:val="0"/>
              <w:spacing w:line="360" w:lineRule="exact"/>
              <w:jc w:val="center"/>
              <w:rPr>
                <w:rFonts w:cs="仿宋"/>
              </w:rPr>
            </w:pPr>
            <w:r>
              <w:rPr>
                <w:rFonts w:hint="eastAsia" w:cs="仿宋"/>
              </w:rPr>
              <w:t>评分规则</w:t>
            </w:r>
          </w:p>
        </w:tc>
        <w:tc>
          <w:tcPr>
            <w:tcW w:w="1187" w:type="dxa"/>
            <w:noWrap w:val="0"/>
            <w:vAlign w:val="center"/>
          </w:tcPr>
          <w:p w14:paraId="66DF70A3">
            <w:pPr>
              <w:autoSpaceDE w:val="0"/>
              <w:autoSpaceDN w:val="0"/>
              <w:adjustRightInd w:val="0"/>
              <w:spacing w:line="360" w:lineRule="exact"/>
              <w:jc w:val="center"/>
              <w:rPr>
                <w:rFonts w:cs="仿宋"/>
              </w:rPr>
            </w:pPr>
            <w:r>
              <w:rPr>
                <w:rFonts w:hint="eastAsia" w:cs="仿宋"/>
              </w:rPr>
              <w:t>评分方式</w:t>
            </w:r>
          </w:p>
        </w:tc>
      </w:tr>
      <w:tr w14:paraId="02C7BC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1" w:hRule="atLeast"/>
          <w:jc w:val="center"/>
        </w:trPr>
        <w:tc>
          <w:tcPr>
            <w:tcW w:w="754" w:type="dxa"/>
            <w:noWrap w:val="0"/>
            <w:vAlign w:val="center"/>
          </w:tcPr>
          <w:p w14:paraId="351BB078">
            <w:pPr>
              <w:autoSpaceDE w:val="0"/>
              <w:autoSpaceDN w:val="0"/>
              <w:adjustRightInd w:val="0"/>
              <w:spacing w:line="360" w:lineRule="exact"/>
              <w:jc w:val="center"/>
              <w:rPr>
                <w:rFonts w:hint="eastAsia" w:cs="仿宋"/>
              </w:rPr>
            </w:pPr>
            <w:r>
              <w:rPr>
                <w:rFonts w:cs="仿宋"/>
              </w:rPr>
              <w:t>1</w:t>
            </w:r>
          </w:p>
        </w:tc>
        <w:tc>
          <w:tcPr>
            <w:tcW w:w="1143" w:type="dxa"/>
            <w:noWrap w:val="0"/>
            <w:vAlign w:val="center"/>
          </w:tcPr>
          <w:p w14:paraId="6372CBFE">
            <w:pPr>
              <w:autoSpaceDE w:val="0"/>
              <w:autoSpaceDN w:val="0"/>
              <w:adjustRightInd w:val="0"/>
              <w:spacing w:line="360" w:lineRule="exact"/>
              <w:jc w:val="center"/>
              <w:rPr>
                <w:rFonts w:hint="eastAsia"/>
              </w:rPr>
            </w:pPr>
            <w:r>
              <w:rPr>
                <w:rFonts w:hint="eastAsia"/>
              </w:rPr>
              <w:t>技术规格偏离情况</w:t>
            </w:r>
          </w:p>
        </w:tc>
        <w:tc>
          <w:tcPr>
            <w:tcW w:w="709" w:type="dxa"/>
            <w:noWrap w:val="0"/>
            <w:vAlign w:val="center"/>
          </w:tcPr>
          <w:p w14:paraId="2660E3B2">
            <w:pPr>
              <w:autoSpaceDE w:val="0"/>
              <w:autoSpaceDN w:val="0"/>
              <w:adjustRightInd w:val="0"/>
              <w:spacing w:line="360" w:lineRule="exact"/>
              <w:jc w:val="center"/>
              <w:rPr>
                <w:rFonts w:cs="仿宋"/>
              </w:rPr>
            </w:pPr>
            <w:r>
              <w:rPr>
                <w:rFonts w:cs="仿宋"/>
              </w:rPr>
              <w:t>40</w:t>
            </w:r>
          </w:p>
        </w:tc>
        <w:tc>
          <w:tcPr>
            <w:tcW w:w="5953" w:type="dxa"/>
            <w:noWrap w:val="0"/>
            <w:vAlign w:val="center"/>
          </w:tcPr>
          <w:p w14:paraId="2EA4399F">
            <w:pPr>
              <w:autoSpaceDE w:val="0"/>
              <w:autoSpaceDN w:val="0"/>
              <w:adjustRightInd w:val="0"/>
              <w:spacing w:line="360" w:lineRule="exact"/>
            </w:pPr>
            <w:r>
              <w:rPr>
                <w:rFonts w:hint="eastAsia"/>
              </w:rPr>
              <w:t>评审内容</w:t>
            </w:r>
            <w:r>
              <w:rPr>
                <w:rFonts w:hint="eastAsia"/>
                <w:lang w:eastAsia="zh-CN"/>
              </w:rPr>
              <w:t>：</w:t>
            </w:r>
            <w:r>
              <w:rPr>
                <w:rFonts w:hint="eastAsia"/>
              </w:rPr>
              <w:t xml:space="preserve"> </w:t>
            </w:r>
          </w:p>
          <w:p w14:paraId="21E6E9A2">
            <w:pPr>
              <w:autoSpaceDE w:val="0"/>
              <w:autoSpaceDN w:val="0"/>
              <w:adjustRightInd w:val="0"/>
              <w:spacing w:line="360" w:lineRule="exact"/>
            </w:pPr>
            <w:r>
              <w:rPr>
                <w:rFonts w:hint="eastAsia"/>
              </w:rPr>
              <w:t>投标人应如实填写《技术条款偏离表》，评审委员会根据投标人对</w:t>
            </w:r>
            <w:r>
              <w:rPr>
                <w:rFonts w:hint="eastAsia"/>
                <w:b/>
                <w:bCs/>
              </w:rPr>
              <w:t>招标文件第二章</w:t>
            </w:r>
            <w:r>
              <w:rPr>
                <w:rFonts w:hint="eastAsia"/>
                <w:b/>
                <w:bCs/>
                <w:lang w:val="en-US" w:eastAsia="zh-CN"/>
              </w:rPr>
              <w:t>附件</w:t>
            </w:r>
            <w:r>
              <w:rPr>
                <w:rFonts w:hint="eastAsia"/>
                <w:b/>
                <w:bCs/>
              </w:rPr>
              <w:t>技术部分</w:t>
            </w:r>
            <w:r>
              <w:rPr>
                <w:rFonts w:hint="eastAsia"/>
              </w:rPr>
              <w:t>的响应情况进行评审, 全部满足得</w:t>
            </w:r>
            <w:r>
              <w:t>4</w:t>
            </w:r>
            <w:r>
              <w:rPr>
                <w:rFonts w:hint="eastAsia"/>
              </w:rPr>
              <w:t>0分，带“▲”为重要条款，每负偏离一项扣3分</w:t>
            </w:r>
            <w:r>
              <w:rPr>
                <w:rFonts w:hint="eastAsia"/>
                <w:lang w:eastAsia="zh-CN"/>
              </w:rPr>
              <w:t>；</w:t>
            </w:r>
            <w:r>
              <w:rPr>
                <w:rFonts w:hint="eastAsia"/>
              </w:rPr>
              <w:t xml:space="preserve">其余每偏离一项扣1分，扣完为止。 </w:t>
            </w:r>
          </w:p>
          <w:p w14:paraId="22C99F0F">
            <w:pPr>
              <w:autoSpaceDE w:val="0"/>
              <w:autoSpaceDN w:val="0"/>
              <w:adjustRightInd w:val="0"/>
              <w:spacing w:line="360" w:lineRule="exact"/>
            </w:pPr>
            <w:r>
              <w:rPr>
                <w:rFonts w:hint="eastAsia"/>
              </w:rPr>
              <w:t>评分依据</w:t>
            </w:r>
            <w:r>
              <w:rPr>
                <w:rFonts w:hint="eastAsia"/>
                <w:lang w:eastAsia="zh-CN"/>
              </w:rPr>
              <w:t>：</w:t>
            </w:r>
            <w:r>
              <w:rPr>
                <w:rFonts w:hint="eastAsia"/>
              </w:rPr>
              <w:t xml:space="preserve"> </w:t>
            </w:r>
          </w:p>
          <w:p w14:paraId="75F59B11">
            <w:pPr>
              <w:autoSpaceDE w:val="0"/>
              <w:autoSpaceDN w:val="0"/>
              <w:adjustRightInd w:val="0"/>
              <w:spacing w:line="360" w:lineRule="exact"/>
              <w:rPr>
                <w:rFonts w:hint="eastAsia"/>
              </w:rPr>
            </w:pPr>
            <w:r>
              <w:rPr>
                <w:rFonts w:hint="eastAsia"/>
              </w:rPr>
              <w:t xml:space="preserve">依据《技术条款偏离表》及技术要求提供的证明材料进行打分。 </w:t>
            </w:r>
          </w:p>
        </w:tc>
        <w:tc>
          <w:tcPr>
            <w:tcW w:w="1187" w:type="dxa"/>
            <w:noWrap w:val="0"/>
            <w:vAlign w:val="center"/>
          </w:tcPr>
          <w:p w14:paraId="56278FEB">
            <w:pPr>
              <w:autoSpaceDE w:val="0"/>
              <w:autoSpaceDN w:val="0"/>
              <w:adjustRightInd w:val="0"/>
              <w:spacing w:line="360" w:lineRule="exact"/>
              <w:jc w:val="center"/>
              <w:rPr>
                <w:rFonts w:hint="eastAsia" w:cs="仿宋"/>
              </w:rPr>
            </w:pPr>
            <w:r>
              <w:rPr>
                <w:rFonts w:hint="eastAsia" w:cs="仿宋"/>
              </w:rPr>
              <w:t>专家打分</w:t>
            </w:r>
          </w:p>
        </w:tc>
      </w:tr>
      <w:tr w14:paraId="6B7D58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54" w:type="dxa"/>
            <w:noWrap w:val="0"/>
            <w:vAlign w:val="center"/>
          </w:tcPr>
          <w:p w14:paraId="5B434827">
            <w:pPr>
              <w:autoSpaceDE w:val="0"/>
              <w:autoSpaceDN w:val="0"/>
              <w:adjustRightInd w:val="0"/>
              <w:spacing w:line="360" w:lineRule="exact"/>
              <w:jc w:val="center"/>
              <w:rPr>
                <w:rFonts w:cs="仿宋"/>
              </w:rPr>
            </w:pPr>
            <w:r>
              <w:rPr>
                <w:rFonts w:cs="仿宋"/>
              </w:rPr>
              <w:t>2</w:t>
            </w:r>
          </w:p>
        </w:tc>
        <w:tc>
          <w:tcPr>
            <w:tcW w:w="1143" w:type="dxa"/>
            <w:noWrap w:val="0"/>
            <w:vAlign w:val="center"/>
          </w:tcPr>
          <w:p w14:paraId="62BD0EFD">
            <w:pPr>
              <w:autoSpaceDE w:val="0"/>
              <w:autoSpaceDN w:val="0"/>
              <w:adjustRightInd w:val="0"/>
              <w:spacing w:line="360" w:lineRule="exact"/>
              <w:jc w:val="center"/>
              <w:rPr>
                <w:rFonts w:hint="eastAsia"/>
              </w:rPr>
            </w:pPr>
            <w:r>
              <w:rPr>
                <w:rFonts w:hint="eastAsia"/>
              </w:rPr>
              <w:t xml:space="preserve">项目实施方案 </w:t>
            </w:r>
          </w:p>
        </w:tc>
        <w:tc>
          <w:tcPr>
            <w:tcW w:w="709" w:type="dxa"/>
            <w:noWrap w:val="0"/>
            <w:vAlign w:val="center"/>
          </w:tcPr>
          <w:p w14:paraId="6EE7B5B0">
            <w:pPr>
              <w:spacing w:line="360" w:lineRule="exact"/>
              <w:jc w:val="center"/>
              <w:rPr>
                <w:rFonts w:cs="仿宋"/>
              </w:rPr>
            </w:pPr>
            <w:r>
              <w:rPr>
                <w:rFonts w:cs="仿宋"/>
              </w:rPr>
              <w:t>8</w:t>
            </w:r>
          </w:p>
        </w:tc>
        <w:tc>
          <w:tcPr>
            <w:tcW w:w="5953" w:type="dxa"/>
            <w:noWrap w:val="0"/>
            <w:vAlign w:val="center"/>
          </w:tcPr>
          <w:p w14:paraId="33537BC6">
            <w:pPr>
              <w:autoSpaceDE w:val="0"/>
              <w:autoSpaceDN w:val="0"/>
              <w:adjustRightInd w:val="0"/>
              <w:spacing w:line="360" w:lineRule="exact"/>
            </w:pPr>
            <w:r>
              <w:rPr>
                <w:rFonts w:hint="eastAsia"/>
              </w:rPr>
              <w:t>评审内容</w:t>
            </w:r>
            <w:r>
              <w:rPr>
                <w:rFonts w:hint="eastAsia"/>
                <w:lang w:eastAsia="zh-CN"/>
              </w:rPr>
              <w:t>：</w:t>
            </w:r>
            <w:r>
              <w:rPr>
                <w:rFonts w:hint="eastAsia"/>
              </w:rPr>
              <w:t xml:space="preserve"> </w:t>
            </w:r>
          </w:p>
          <w:p w14:paraId="2EF15766">
            <w:pPr>
              <w:autoSpaceDE w:val="0"/>
              <w:autoSpaceDN w:val="0"/>
              <w:adjustRightInd w:val="0"/>
              <w:spacing w:line="360" w:lineRule="exact"/>
            </w:pPr>
            <w:r>
              <w:rPr>
                <w:rFonts w:hint="eastAsia"/>
              </w:rPr>
              <w:t xml:space="preserve">根据投标人提供的项目实施方案(内容包括但不限于对项目总体理解、技术响应方案、设备选型)进行评审。 </w:t>
            </w:r>
          </w:p>
          <w:p w14:paraId="269A12CC">
            <w:pPr>
              <w:autoSpaceDE w:val="0"/>
              <w:autoSpaceDN w:val="0"/>
              <w:adjustRightInd w:val="0"/>
              <w:spacing w:line="360" w:lineRule="exact"/>
            </w:pPr>
            <w:r>
              <w:rPr>
                <w:rFonts w:hint="eastAsia"/>
              </w:rPr>
              <w:t>评分标准</w:t>
            </w:r>
            <w:r>
              <w:rPr>
                <w:rFonts w:hint="eastAsia"/>
                <w:lang w:eastAsia="zh-CN"/>
              </w:rPr>
              <w:t>：</w:t>
            </w:r>
            <w:r>
              <w:rPr>
                <w:rFonts w:hint="eastAsia"/>
              </w:rPr>
              <w:t xml:space="preserve"> </w:t>
            </w:r>
          </w:p>
          <w:p w14:paraId="531ABAD6">
            <w:pPr>
              <w:autoSpaceDE w:val="0"/>
              <w:autoSpaceDN w:val="0"/>
              <w:adjustRightInd w:val="0"/>
              <w:spacing w:line="360" w:lineRule="exact"/>
              <w:rPr>
                <w:rFonts w:hint="eastAsia" w:eastAsia="宋体"/>
                <w:lang w:eastAsia="zh-CN"/>
              </w:rPr>
            </w:pPr>
            <w:r>
              <w:rPr>
                <w:rFonts w:hint="eastAsia"/>
              </w:rPr>
              <w:t>1.有非常完整的技术响应方案</w:t>
            </w:r>
            <w:r>
              <w:rPr>
                <w:rFonts w:hint="eastAsia"/>
                <w:lang w:eastAsia="zh-CN"/>
              </w:rPr>
              <w:t>；</w:t>
            </w:r>
          </w:p>
          <w:p w14:paraId="7792313B">
            <w:pPr>
              <w:autoSpaceDE w:val="0"/>
              <w:autoSpaceDN w:val="0"/>
              <w:adjustRightInd w:val="0"/>
              <w:spacing w:line="360" w:lineRule="exact"/>
            </w:pPr>
            <w:r>
              <w:rPr>
                <w:rFonts w:hint="eastAsia"/>
              </w:rPr>
              <w:t>2.设备选型合理</w:t>
            </w:r>
            <w:r>
              <w:rPr>
                <w:rFonts w:hint="eastAsia"/>
                <w:lang w:eastAsia="zh-CN"/>
              </w:rPr>
              <w:t>；</w:t>
            </w:r>
            <w:r>
              <w:rPr>
                <w:rFonts w:hint="eastAsia"/>
              </w:rPr>
              <w:t xml:space="preserve"> </w:t>
            </w:r>
          </w:p>
          <w:p w14:paraId="4A01C63D">
            <w:pPr>
              <w:autoSpaceDE w:val="0"/>
              <w:autoSpaceDN w:val="0"/>
              <w:adjustRightInd w:val="0"/>
              <w:spacing w:line="360" w:lineRule="exact"/>
            </w:pPr>
            <w:r>
              <w:rPr>
                <w:rFonts w:hint="eastAsia"/>
              </w:rPr>
              <w:t>3.针对用户的实际情况，充分了解用户的要求</w:t>
            </w:r>
            <w:r>
              <w:rPr>
                <w:rFonts w:hint="eastAsia"/>
                <w:lang w:eastAsia="zh-CN"/>
              </w:rPr>
              <w:t>；</w:t>
            </w:r>
            <w:r>
              <w:rPr>
                <w:rFonts w:hint="eastAsia"/>
              </w:rPr>
              <w:t xml:space="preserve"> </w:t>
            </w:r>
          </w:p>
          <w:p w14:paraId="69A65050">
            <w:pPr>
              <w:autoSpaceDE w:val="0"/>
              <w:autoSpaceDN w:val="0"/>
              <w:adjustRightInd w:val="0"/>
              <w:spacing w:line="360" w:lineRule="exact"/>
            </w:pPr>
            <w:r>
              <w:rPr>
                <w:rFonts w:hint="eastAsia"/>
              </w:rPr>
              <w:t xml:space="preserve">4.有详细可行具体合理的规划，方案清楚描述主要设备的安装部署和各功能特点。 </w:t>
            </w:r>
          </w:p>
          <w:p w14:paraId="78119E1B">
            <w:pPr>
              <w:autoSpaceDE w:val="0"/>
              <w:autoSpaceDN w:val="0"/>
              <w:adjustRightInd w:val="0"/>
              <w:spacing w:line="360" w:lineRule="exact"/>
              <w:rPr>
                <w:rFonts w:hint="eastAsia"/>
              </w:rPr>
            </w:pPr>
            <w:r>
              <w:rPr>
                <w:rFonts w:hint="eastAsia"/>
              </w:rPr>
              <w:t xml:space="preserve">满足以上四项要求得8分，满足以上三项要求得5分，满足以上两项要求得3分，满足以上一项要求得1分，其它情况不得分。 </w:t>
            </w:r>
          </w:p>
        </w:tc>
        <w:tc>
          <w:tcPr>
            <w:tcW w:w="1187" w:type="dxa"/>
            <w:noWrap w:val="0"/>
            <w:vAlign w:val="center"/>
          </w:tcPr>
          <w:p w14:paraId="5A4CA560">
            <w:pPr>
              <w:autoSpaceDE w:val="0"/>
              <w:autoSpaceDN w:val="0"/>
              <w:adjustRightInd w:val="0"/>
              <w:spacing w:line="360" w:lineRule="exact"/>
              <w:jc w:val="center"/>
              <w:rPr>
                <w:rFonts w:cs="仿宋"/>
              </w:rPr>
            </w:pPr>
            <w:r>
              <w:rPr>
                <w:rFonts w:hint="eastAsia" w:cs="仿宋"/>
              </w:rPr>
              <w:t>专家打分</w:t>
            </w:r>
          </w:p>
        </w:tc>
      </w:tr>
      <w:tr w14:paraId="5FAFBD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18" w:hRule="atLeast"/>
          <w:jc w:val="center"/>
        </w:trPr>
        <w:tc>
          <w:tcPr>
            <w:tcW w:w="754" w:type="dxa"/>
            <w:noWrap w:val="0"/>
            <w:vAlign w:val="center"/>
          </w:tcPr>
          <w:p w14:paraId="3550DF81">
            <w:pPr>
              <w:autoSpaceDE w:val="0"/>
              <w:autoSpaceDN w:val="0"/>
              <w:adjustRightInd w:val="0"/>
              <w:spacing w:line="360" w:lineRule="exact"/>
              <w:jc w:val="center"/>
              <w:rPr>
                <w:rFonts w:cs="仿宋"/>
              </w:rPr>
            </w:pPr>
            <w:r>
              <w:rPr>
                <w:rFonts w:cs="仿宋"/>
              </w:rPr>
              <w:t>3</w:t>
            </w:r>
          </w:p>
        </w:tc>
        <w:tc>
          <w:tcPr>
            <w:tcW w:w="1143" w:type="dxa"/>
            <w:noWrap w:val="0"/>
            <w:vAlign w:val="center"/>
          </w:tcPr>
          <w:p w14:paraId="476E8E73">
            <w:pPr>
              <w:autoSpaceDE w:val="0"/>
              <w:autoSpaceDN w:val="0"/>
              <w:adjustRightInd w:val="0"/>
              <w:spacing w:line="360" w:lineRule="exact"/>
              <w:jc w:val="center"/>
              <w:rPr>
                <w:rFonts w:hint="eastAsia"/>
              </w:rPr>
            </w:pPr>
            <w:r>
              <w:rPr>
                <w:rFonts w:hint="eastAsia"/>
              </w:rPr>
              <w:t xml:space="preserve">技术保障措施 </w:t>
            </w:r>
          </w:p>
        </w:tc>
        <w:tc>
          <w:tcPr>
            <w:tcW w:w="709" w:type="dxa"/>
            <w:noWrap w:val="0"/>
            <w:vAlign w:val="center"/>
          </w:tcPr>
          <w:p w14:paraId="596C65A8">
            <w:pPr>
              <w:spacing w:line="360" w:lineRule="exact"/>
              <w:jc w:val="center"/>
              <w:rPr>
                <w:rFonts w:cs="仿宋"/>
              </w:rPr>
            </w:pPr>
            <w:r>
              <w:rPr>
                <w:rFonts w:cs="仿宋"/>
              </w:rPr>
              <w:t>6</w:t>
            </w:r>
          </w:p>
        </w:tc>
        <w:tc>
          <w:tcPr>
            <w:tcW w:w="5953" w:type="dxa"/>
            <w:noWrap w:val="0"/>
            <w:vAlign w:val="center"/>
          </w:tcPr>
          <w:p w14:paraId="10986061">
            <w:pPr>
              <w:autoSpaceDE w:val="0"/>
              <w:autoSpaceDN w:val="0"/>
              <w:adjustRightInd w:val="0"/>
              <w:spacing w:line="360" w:lineRule="exact"/>
            </w:pPr>
            <w:r>
              <w:rPr>
                <w:rFonts w:hint="eastAsia"/>
              </w:rPr>
              <w:t>评审内容</w:t>
            </w:r>
            <w:r>
              <w:rPr>
                <w:rFonts w:hint="eastAsia"/>
                <w:lang w:eastAsia="zh-CN"/>
              </w:rPr>
              <w:t>：</w:t>
            </w:r>
            <w:r>
              <w:rPr>
                <w:rFonts w:hint="eastAsia"/>
              </w:rPr>
              <w:t xml:space="preserve"> </w:t>
            </w:r>
          </w:p>
          <w:p w14:paraId="5EA5F0D2">
            <w:pPr>
              <w:autoSpaceDE w:val="0"/>
              <w:autoSpaceDN w:val="0"/>
              <w:adjustRightInd w:val="0"/>
              <w:spacing w:line="360" w:lineRule="exact"/>
            </w:pPr>
            <w:r>
              <w:rPr>
                <w:rFonts w:hint="eastAsia"/>
              </w:rPr>
              <w:t>在投标文件中详细说明技术保障措施，根据响应情况进行分档评审。满足以下五项要求得</w:t>
            </w:r>
            <w:r>
              <w:t>6</w:t>
            </w:r>
            <w:r>
              <w:rPr>
                <w:rFonts w:hint="eastAsia"/>
              </w:rPr>
              <w:t>分</w:t>
            </w:r>
            <w:r>
              <w:rPr>
                <w:rFonts w:hint="eastAsia"/>
                <w:lang w:eastAsia="zh-CN"/>
              </w:rPr>
              <w:t>；</w:t>
            </w:r>
            <w:r>
              <w:rPr>
                <w:rFonts w:hint="eastAsia"/>
              </w:rPr>
              <w:t>满足以下四项要求得4分</w:t>
            </w:r>
            <w:r>
              <w:rPr>
                <w:rFonts w:hint="eastAsia"/>
                <w:lang w:eastAsia="zh-CN"/>
              </w:rPr>
              <w:t>；</w:t>
            </w:r>
            <w:r>
              <w:rPr>
                <w:rFonts w:hint="eastAsia"/>
              </w:rPr>
              <w:t>满足以下三项要求得2分</w:t>
            </w:r>
            <w:r>
              <w:rPr>
                <w:rFonts w:hint="eastAsia"/>
                <w:lang w:eastAsia="zh-CN"/>
              </w:rPr>
              <w:t>；</w:t>
            </w:r>
            <w:r>
              <w:rPr>
                <w:rFonts w:hint="eastAsia"/>
              </w:rPr>
              <w:t>满足以下两项要求得1分</w:t>
            </w:r>
            <w:r>
              <w:rPr>
                <w:rFonts w:hint="eastAsia"/>
                <w:lang w:eastAsia="zh-CN"/>
              </w:rPr>
              <w:t>；</w:t>
            </w:r>
            <w:r>
              <w:rPr>
                <w:rFonts w:hint="eastAsia"/>
              </w:rPr>
              <w:t xml:space="preserve">其他不得分。 </w:t>
            </w:r>
          </w:p>
          <w:p w14:paraId="7304C904">
            <w:pPr>
              <w:autoSpaceDE w:val="0"/>
              <w:autoSpaceDN w:val="0"/>
              <w:adjustRightInd w:val="0"/>
              <w:spacing w:line="360" w:lineRule="exact"/>
            </w:pPr>
            <w:r>
              <w:rPr>
                <w:rFonts w:hint="eastAsia"/>
              </w:rPr>
              <w:t>评分标准</w:t>
            </w:r>
            <w:r>
              <w:rPr>
                <w:rFonts w:hint="eastAsia"/>
                <w:lang w:eastAsia="zh-CN"/>
              </w:rPr>
              <w:t>：</w:t>
            </w:r>
            <w:r>
              <w:rPr>
                <w:rFonts w:hint="eastAsia"/>
              </w:rPr>
              <w:t xml:space="preserve"> </w:t>
            </w:r>
          </w:p>
          <w:p w14:paraId="3EFCFEE0">
            <w:pPr>
              <w:autoSpaceDE w:val="0"/>
              <w:autoSpaceDN w:val="0"/>
              <w:adjustRightInd w:val="0"/>
              <w:spacing w:line="360" w:lineRule="exact"/>
            </w:pPr>
            <w:r>
              <w:rPr>
                <w:rFonts w:hint="eastAsia"/>
              </w:rPr>
              <w:t>(1)内容全面</w:t>
            </w:r>
            <w:r>
              <w:rPr>
                <w:rFonts w:hint="eastAsia"/>
                <w:lang w:eastAsia="zh-CN"/>
              </w:rPr>
              <w:t>；</w:t>
            </w:r>
            <w:r>
              <w:rPr>
                <w:rFonts w:hint="eastAsia"/>
              </w:rPr>
              <w:t xml:space="preserve"> </w:t>
            </w:r>
          </w:p>
          <w:p w14:paraId="55D4327B">
            <w:pPr>
              <w:autoSpaceDE w:val="0"/>
              <w:autoSpaceDN w:val="0"/>
              <w:adjustRightInd w:val="0"/>
              <w:spacing w:line="360" w:lineRule="exact"/>
            </w:pPr>
            <w:r>
              <w:rPr>
                <w:rFonts w:hint="eastAsia"/>
              </w:rPr>
              <w:t>(2)内容具体</w:t>
            </w:r>
            <w:r>
              <w:rPr>
                <w:rFonts w:hint="eastAsia"/>
                <w:lang w:eastAsia="zh-CN"/>
              </w:rPr>
              <w:t>；</w:t>
            </w:r>
            <w:r>
              <w:rPr>
                <w:rFonts w:hint="eastAsia"/>
              </w:rPr>
              <w:t xml:space="preserve"> </w:t>
            </w:r>
          </w:p>
          <w:p w14:paraId="434BBF7A">
            <w:pPr>
              <w:autoSpaceDE w:val="0"/>
              <w:autoSpaceDN w:val="0"/>
              <w:adjustRightInd w:val="0"/>
              <w:spacing w:line="360" w:lineRule="exact"/>
            </w:pPr>
            <w:r>
              <w:rPr>
                <w:rFonts w:hint="eastAsia"/>
              </w:rPr>
              <w:t>(3)内容科学合理</w:t>
            </w:r>
            <w:r>
              <w:rPr>
                <w:rFonts w:hint="eastAsia"/>
                <w:lang w:eastAsia="zh-CN"/>
              </w:rPr>
              <w:t>；</w:t>
            </w:r>
            <w:r>
              <w:rPr>
                <w:rFonts w:hint="eastAsia"/>
              </w:rPr>
              <w:t xml:space="preserve"> </w:t>
            </w:r>
          </w:p>
          <w:p w14:paraId="12A26D54">
            <w:pPr>
              <w:autoSpaceDE w:val="0"/>
              <w:autoSpaceDN w:val="0"/>
              <w:adjustRightInd w:val="0"/>
              <w:spacing w:line="360" w:lineRule="exact"/>
            </w:pPr>
            <w:r>
              <w:rPr>
                <w:rFonts w:hint="eastAsia"/>
              </w:rPr>
              <w:t>(4)内容针对性强</w:t>
            </w:r>
            <w:r>
              <w:rPr>
                <w:rFonts w:hint="eastAsia"/>
                <w:lang w:eastAsia="zh-CN"/>
              </w:rPr>
              <w:t>；</w:t>
            </w:r>
            <w:r>
              <w:rPr>
                <w:rFonts w:hint="eastAsia"/>
              </w:rPr>
              <w:t xml:space="preserve"> </w:t>
            </w:r>
          </w:p>
          <w:p w14:paraId="5E2E6C0F">
            <w:pPr>
              <w:autoSpaceDE w:val="0"/>
              <w:autoSpaceDN w:val="0"/>
              <w:adjustRightInd w:val="0"/>
              <w:spacing w:line="360" w:lineRule="exact"/>
              <w:rPr>
                <w:rFonts w:hint="eastAsia"/>
              </w:rPr>
            </w:pPr>
            <w:r>
              <w:rPr>
                <w:rFonts w:hint="eastAsia"/>
              </w:rPr>
              <w:t xml:space="preserve">(5)内容可操作性强。 </w:t>
            </w:r>
          </w:p>
        </w:tc>
        <w:tc>
          <w:tcPr>
            <w:tcW w:w="1187" w:type="dxa"/>
            <w:noWrap w:val="0"/>
            <w:vAlign w:val="center"/>
          </w:tcPr>
          <w:p w14:paraId="7793CF80">
            <w:pPr>
              <w:autoSpaceDE w:val="0"/>
              <w:autoSpaceDN w:val="0"/>
              <w:adjustRightInd w:val="0"/>
              <w:spacing w:line="360" w:lineRule="exact"/>
              <w:jc w:val="center"/>
              <w:rPr>
                <w:rFonts w:hint="eastAsia" w:cs="仿宋"/>
              </w:rPr>
            </w:pPr>
            <w:r>
              <w:rPr>
                <w:rFonts w:hint="eastAsia" w:cs="仿宋"/>
              </w:rPr>
              <w:t>专家打分</w:t>
            </w:r>
          </w:p>
        </w:tc>
      </w:tr>
      <w:tr w14:paraId="147B3B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8559" w:type="dxa"/>
            <w:gridSpan w:val="4"/>
            <w:noWrap w:val="0"/>
            <w:vAlign w:val="center"/>
          </w:tcPr>
          <w:p w14:paraId="7ABFD041">
            <w:pPr>
              <w:autoSpaceDE w:val="0"/>
              <w:autoSpaceDN w:val="0"/>
              <w:adjustRightInd w:val="0"/>
              <w:spacing w:line="360" w:lineRule="exact"/>
              <w:jc w:val="center"/>
              <w:rPr>
                <w:rFonts w:cs="仿宋"/>
                <w:b/>
              </w:rPr>
            </w:pPr>
            <w:r>
              <w:rPr>
                <w:rFonts w:hint="eastAsia" w:cs="仿宋"/>
                <w:b/>
                <w:lang w:val="zh-CN"/>
              </w:rPr>
              <w:t>三、商务部分</w:t>
            </w:r>
          </w:p>
        </w:tc>
        <w:tc>
          <w:tcPr>
            <w:tcW w:w="1187" w:type="dxa"/>
            <w:noWrap w:val="0"/>
            <w:vAlign w:val="center"/>
          </w:tcPr>
          <w:p w14:paraId="567F4F69">
            <w:pPr>
              <w:autoSpaceDE w:val="0"/>
              <w:autoSpaceDN w:val="0"/>
              <w:adjustRightInd w:val="0"/>
              <w:spacing w:line="360" w:lineRule="exact"/>
              <w:jc w:val="center"/>
              <w:rPr>
                <w:rFonts w:cs="仿宋"/>
                <w:b/>
              </w:rPr>
            </w:pPr>
            <w:r>
              <w:rPr>
                <w:rFonts w:cs="仿宋"/>
                <w:b/>
              </w:rPr>
              <w:t>15</w:t>
            </w:r>
          </w:p>
        </w:tc>
      </w:tr>
      <w:tr w14:paraId="69D591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754" w:type="dxa"/>
            <w:noWrap w:val="0"/>
            <w:vAlign w:val="center"/>
          </w:tcPr>
          <w:p w14:paraId="66CDC8F1">
            <w:pPr>
              <w:autoSpaceDE w:val="0"/>
              <w:autoSpaceDN w:val="0"/>
              <w:adjustRightInd w:val="0"/>
              <w:spacing w:line="360" w:lineRule="exact"/>
              <w:jc w:val="center"/>
              <w:rPr>
                <w:rFonts w:cs="仿宋"/>
              </w:rPr>
            </w:pPr>
            <w:r>
              <w:rPr>
                <w:rFonts w:hint="eastAsia" w:cs="仿宋"/>
                <w:lang w:val="zh-CN"/>
              </w:rPr>
              <w:t>序号</w:t>
            </w:r>
          </w:p>
        </w:tc>
        <w:tc>
          <w:tcPr>
            <w:tcW w:w="1143" w:type="dxa"/>
            <w:noWrap w:val="0"/>
            <w:vAlign w:val="center"/>
          </w:tcPr>
          <w:p w14:paraId="034D9640">
            <w:pPr>
              <w:autoSpaceDE w:val="0"/>
              <w:autoSpaceDN w:val="0"/>
              <w:adjustRightInd w:val="0"/>
              <w:spacing w:line="360" w:lineRule="exact"/>
              <w:jc w:val="center"/>
              <w:rPr>
                <w:rFonts w:cs="仿宋"/>
              </w:rPr>
            </w:pPr>
            <w:r>
              <w:rPr>
                <w:rFonts w:hint="eastAsia" w:cs="仿宋"/>
                <w:lang w:val="zh-CN"/>
              </w:rPr>
              <w:t>内容</w:t>
            </w:r>
          </w:p>
        </w:tc>
        <w:tc>
          <w:tcPr>
            <w:tcW w:w="709" w:type="dxa"/>
            <w:noWrap w:val="0"/>
            <w:vAlign w:val="center"/>
          </w:tcPr>
          <w:p w14:paraId="6373D8E0">
            <w:pPr>
              <w:autoSpaceDE w:val="0"/>
              <w:autoSpaceDN w:val="0"/>
              <w:adjustRightInd w:val="0"/>
              <w:spacing w:line="360" w:lineRule="exact"/>
              <w:jc w:val="center"/>
              <w:rPr>
                <w:rFonts w:cs="仿宋"/>
              </w:rPr>
            </w:pPr>
            <w:r>
              <w:rPr>
                <w:rFonts w:hint="eastAsia" w:cs="仿宋"/>
                <w:lang w:val="zh-CN"/>
              </w:rPr>
              <w:t>权重</w:t>
            </w:r>
          </w:p>
        </w:tc>
        <w:tc>
          <w:tcPr>
            <w:tcW w:w="5953" w:type="dxa"/>
            <w:noWrap w:val="0"/>
            <w:vAlign w:val="center"/>
          </w:tcPr>
          <w:p w14:paraId="65EAADE1">
            <w:pPr>
              <w:autoSpaceDE w:val="0"/>
              <w:autoSpaceDN w:val="0"/>
              <w:adjustRightInd w:val="0"/>
              <w:spacing w:line="360" w:lineRule="exact"/>
              <w:jc w:val="center"/>
              <w:rPr>
                <w:rFonts w:cs="仿宋"/>
              </w:rPr>
            </w:pPr>
            <w:r>
              <w:rPr>
                <w:rFonts w:hint="eastAsia" w:cs="仿宋"/>
                <w:lang w:val="zh-CN"/>
              </w:rPr>
              <w:t>评分规则</w:t>
            </w:r>
          </w:p>
        </w:tc>
        <w:tc>
          <w:tcPr>
            <w:tcW w:w="1187" w:type="dxa"/>
            <w:noWrap w:val="0"/>
            <w:vAlign w:val="center"/>
          </w:tcPr>
          <w:p w14:paraId="4E075BC4">
            <w:pPr>
              <w:autoSpaceDE w:val="0"/>
              <w:autoSpaceDN w:val="0"/>
              <w:adjustRightInd w:val="0"/>
              <w:spacing w:line="360" w:lineRule="exact"/>
              <w:jc w:val="center"/>
              <w:rPr>
                <w:rFonts w:cs="仿宋"/>
              </w:rPr>
            </w:pPr>
            <w:r>
              <w:rPr>
                <w:rFonts w:hint="eastAsia" w:cs="仿宋"/>
                <w:lang w:val="zh-CN"/>
              </w:rPr>
              <w:t>评分方式</w:t>
            </w:r>
          </w:p>
        </w:tc>
      </w:tr>
      <w:tr w14:paraId="131629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45" w:hRule="atLeast"/>
          <w:jc w:val="center"/>
        </w:trPr>
        <w:tc>
          <w:tcPr>
            <w:tcW w:w="754" w:type="dxa"/>
            <w:noWrap w:val="0"/>
            <w:vAlign w:val="center"/>
          </w:tcPr>
          <w:p w14:paraId="293B2A32">
            <w:pPr>
              <w:autoSpaceDE w:val="0"/>
              <w:autoSpaceDN w:val="0"/>
              <w:adjustRightInd w:val="0"/>
              <w:spacing w:line="360" w:lineRule="exact"/>
              <w:jc w:val="center"/>
              <w:rPr>
                <w:rFonts w:cs="仿宋"/>
                <w:lang w:val="zh-CN"/>
              </w:rPr>
            </w:pPr>
            <w:r>
              <w:rPr>
                <w:rFonts w:hint="eastAsia" w:cs="仿宋"/>
                <w:lang w:val="zh-CN"/>
              </w:rPr>
              <w:t>1</w:t>
            </w:r>
          </w:p>
        </w:tc>
        <w:tc>
          <w:tcPr>
            <w:tcW w:w="1143" w:type="dxa"/>
            <w:noWrap w:val="0"/>
            <w:vAlign w:val="center"/>
          </w:tcPr>
          <w:p w14:paraId="12501EB7">
            <w:pPr>
              <w:spacing w:line="360" w:lineRule="exact"/>
              <w:jc w:val="center"/>
              <w:rPr>
                <w:rFonts w:cs="仿宋"/>
              </w:rPr>
            </w:pPr>
            <w:r>
              <w:rPr>
                <w:rFonts w:hint="eastAsia"/>
              </w:rPr>
              <w:t>商务条款偏离情况</w:t>
            </w:r>
          </w:p>
        </w:tc>
        <w:tc>
          <w:tcPr>
            <w:tcW w:w="709" w:type="dxa"/>
            <w:noWrap w:val="0"/>
            <w:vAlign w:val="center"/>
          </w:tcPr>
          <w:p w14:paraId="3DEA8FE8">
            <w:pPr>
              <w:spacing w:line="360" w:lineRule="exact"/>
              <w:jc w:val="center"/>
              <w:rPr>
                <w:rFonts w:cs="仿宋"/>
              </w:rPr>
            </w:pPr>
            <w:r>
              <w:rPr>
                <w:rFonts w:cs="仿宋"/>
              </w:rPr>
              <w:t>5</w:t>
            </w:r>
          </w:p>
        </w:tc>
        <w:tc>
          <w:tcPr>
            <w:tcW w:w="5953" w:type="dxa"/>
            <w:noWrap w:val="0"/>
            <w:vAlign w:val="center"/>
          </w:tcPr>
          <w:p w14:paraId="04CD139D">
            <w:pPr>
              <w:autoSpaceDE w:val="0"/>
              <w:autoSpaceDN w:val="0"/>
              <w:adjustRightInd w:val="0"/>
              <w:spacing w:line="360" w:lineRule="exact"/>
            </w:pPr>
            <w:r>
              <w:rPr>
                <w:rFonts w:hint="eastAsia"/>
              </w:rPr>
              <w:t>评审内容</w:t>
            </w:r>
            <w:r>
              <w:rPr>
                <w:rFonts w:hint="eastAsia"/>
                <w:lang w:eastAsia="zh-CN"/>
              </w:rPr>
              <w:t>：</w:t>
            </w:r>
            <w:r>
              <w:rPr>
                <w:rFonts w:hint="eastAsia"/>
              </w:rPr>
              <w:t xml:space="preserve"> </w:t>
            </w:r>
          </w:p>
          <w:p w14:paraId="10337E37">
            <w:pPr>
              <w:autoSpaceDE w:val="0"/>
              <w:autoSpaceDN w:val="0"/>
              <w:adjustRightInd w:val="0"/>
              <w:spacing w:line="360" w:lineRule="exact"/>
            </w:pPr>
            <w:r>
              <w:rPr>
                <w:rFonts w:hint="eastAsia"/>
              </w:rPr>
              <w:t xml:space="preserve">投标人应如实填写《商务条款偏离表》，评审委员会根据投标人对招标文件第二章商务部分的响应情况进行评审, 全部满足得5分。每偏离1条扣1分，扣完为止。 </w:t>
            </w:r>
          </w:p>
          <w:p w14:paraId="65B206E5">
            <w:pPr>
              <w:autoSpaceDE w:val="0"/>
              <w:autoSpaceDN w:val="0"/>
              <w:adjustRightInd w:val="0"/>
              <w:spacing w:line="360" w:lineRule="exact"/>
            </w:pPr>
            <w:r>
              <w:rPr>
                <w:rFonts w:hint="eastAsia"/>
              </w:rPr>
              <w:t>评分依据</w:t>
            </w:r>
            <w:r>
              <w:rPr>
                <w:rFonts w:hint="eastAsia"/>
                <w:lang w:eastAsia="zh-CN"/>
              </w:rPr>
              <w:t>：</w:t>
            </w:r>
            <w:r>
              <w:rPr>
                <w:rFonts w:hint="eastAsia"/>
              </w:rPr>
              <w:t xml:space="preserve"> </w:t>
            </w:r>
          </w:p>
          <w:p w14:paraId="29AA27E5">
            <w:pPr>
              <w:autoSpaceDE w:val="0"/>
              <w:autoSpaceDN w:val="0"/>
              <w:adjustRightInd w:val="0"/>
              <w:spacing w:line="360" w:lineRule="exact"/>
              <w:rPr>
                <w:rFonts w:hint="eastAsia"/>
              </w:rPr>
            </w:pPr>
            <w:r>
              <w:rPr>
                <w:rFonts w:hint="eastAsia"/>
              </w:rPr>
              <w:t xml:space="preserve">依据《商务条款偏离表》及商务要求提供的证明材料进行打分。 </w:t>
            </w:r>
          </w:p>
        </w:tc>
        <w:tc>
          <w:tcPr>
            <w:tcW w:w="1187" w:type="dxa"/>
            <w:noWrap w:val="0"/>
            <w:vAlign w:val="center"/>
          </w:tcPr>
          <w:p w14:paraId="3FAF171D">
            <w:pPr>
              <w:autoSpaceDE w:val="0"/>
              <w:autoSpaceDN w:val="0"/>
              <w:adjustRightInd w:val="0"/>
              <w:spacing w:line="360" w:lineRule="exact"/>
              <w:jc w:val="center"/>
              <w:rPr>
                <w:rFonts w:cs="仿宋"/>
                <w:lang w:val="zh-CN"/>
              </w:rPr>
            </w:pPr>
            <w:r>
              <w:rPr>
                <w:rFonts w:hint="eastAsia" w:cs="仿宋"/>
                <w:lang w:val="zh-CN"/>
              </w:rPr>
              <w:t>专家打分</w:t>
            </w:r>
          </w:p>
        </w:tc>
      </w:tr>
      <w:tr w14:paraId="411F4D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00" w:hRule="atLeast"/>
          <w:jc w:val="center"/>
        </w:trPr>
        <w:tc>
          <w:tcPr>
            <w:tcW w:w="754" w:type="dxa"/>
            <w:noWrap w:val="0"/>
            <w:vAlign w:val="center"/>
          </w:tcPr>
          <w:p w14:paraId="3F7F7C9A">
            <w:pPr>
              <w:autoSpaceDE w:val="0"/>
              <w:autoSpaceDN w:val="0"/>
              <w:adjustRightInd w:val="0"/>
              <w:spacing w:line="360" w:lineRule="exact"/>
              <w:jc w:val="center"/>
              <w:rPr>
                <w:rFonts w:cs="仿宋"/>
                <w:lang w:val="zh-CN"/>
              </w:rPr>
            </w:pPr>
            <w:r>
              <w:rPr>
                <w:rFonts w:cs="仿宋"/>
              </w:rPr>
              <w:t>2</w:t>
            </w:r>
          </w:p>
        </w:tc>
        <w:tc>
          <w:tcPr>
            <w:tcW w:w="1143" w:type="dxa"/>
            <w:noWrap w:val="0"/>
            <w:vAlign w:val="center"/>
          </w:tcPr>
          <w:p w14:paraId="5D95243B">
            <w:pPr>
              <w:spacing w:line="360" w:lineRule="exact"/>
              <w:jc w:val="center"/>
              <w:rPr>
                <w:rFonts w:cs="仿宋"/>
              </w:rPr>
            </w:pPr>
            <w:r>
              <w:rPr>
                <w:rFonts w:hint="eastAsia"/>
              </w:rPr>
              <w:t>售后服务方案</w:t>
            </w:r>
          </w:p>
        </w:tc>
        <w:tc>
          <w:tcPr>
            <w:tcW w:w="709" w:type="dxa"/>
            <w:noWrap w:val="0"/>
            <w:vAlign w:val="center"/>
          </w:tcPr>
          <w:p w14:paraId="72E9BAB7">
            <w:pPr>
              <w:spacing w:line="360" w:lineRule="exact"/>
              <w:jc w:val="center"/>
              <w:rPr>
                <w:rFonts w:cs="仿宋"/>
              </w:rPr>
            </w:pPr>
            <w:r>
              <w:t>4</w:t>
            </w:r>
          </w:p>
        </w:tc>
        <w:tc>
          <w:tcPr>
            <w:tcW w:w="5953" w:type="dxa"/>
            <w:noWrap w:val="0"/>
            <w:vAlign w:val="center"/>
          </w:tcPr>
          <w:p w14:paraId="3506B637">
            <w:pPr>
              <w:autoSpaceDE w:val="0"/>
              <w:autoSpaceDN w:val="0"/>
              <w:adjustRightInd w:val="0"/>
              <w:spacing w:line="360" w:lineRule="exact"/>
            </w:pPr>
            <w:r>
              <w:rPr>
                <w:rFonts w:hint="eastAsia"/>
              </w:rPr>
              <w:t>评审内容</w:t>
            </w:r>
            <w:r>
              <w:rPr>
                <w:rFonts w:hint="eastAsia"/>
                <w:lang w:eastAsia="zh-CN"/>
              </w:rPr>
              <w:t>：</w:t>
            </w:r>
            <w:r>
              <w:rPr>
                <w:rFonts w:hint="eastAsia"/>
              </w:rPr>
              <w:t xml:space="preserve"> </w:t>
            </w:r>
          </w:p>
          <w:p w14:paraId="0A9A5C6C">
            <w:pPr>
              <w:autoSpaceDE w:val="0"/>
              <w:autoSpaceDN w:val="0"/>
              <w:adjustRightInd w:val="0"/>
              <w:spacing w:line="360" w:lineRule="exact"/>
            </w:pPr>
            <w:r>
              <w:rPr>
                <w:rFonts w:hint="eastAsia"/>
              </w:rPr>
              <w:t>投标人根据本项目的需求制定售后服务方案(内容包括但不限于售后服务机构及维护人员配置、技术培训方案、故障响应时间及备品备件支持计划)，根据响应情况进行评审</w:t>
            </w:r>
            <w:r>
              <w:rPr>
                <w:rFonts w:hint="eastAsia"/>
                <w:lang w:eastAsia="zh-CN"/>
              </w:rPr>
              <w:t>：</w:t>
            </w:r>
            <w:r>
              <w:rPr>
                <w:rFonts w:hint="eastAsia"/>
              </w:rPr>
              <w:t xml:space="preserve"> </w:t>
            </w:r>
          </w:p>
          <w:p w14:paraId="3280FCCC">
            <w:pPr>
              <w:autoSpaceDE w:val="0"/>
              <w:autoSpaceDN w:val="0"/>
              <w:adjustRightInd w:val="0"/>
              <w:spacing w:line="360" w:lineRule="exact"/>
            </w:pPr>
            <w:r>
              <w:rPr>
                <w:rFonts w:hint="eastAsia"/>
              </w:rPr>
              <w:t>(1)售后服务机构及维护人员配置合理</w:t>
            </w:r>
            <w:r>
              <w:rPr>
                <w:rFonts w:hint="eastAsia"/>
                <w:lang w:eastAsia="zh-CN"/>
              </w:rPr>
              <w:t>；</w:t>
            </w:r>
            <w:r>
              <w:rPr>
                <w:rFonts w:hint="eastAsia"/>
              </w:rPr>
              <w:t xml:space="preserve"> </w:t>
            </w:r>
          </w:p>
          <w:p w14:paraId="22E88BAF">
            <w:pPr>
              <w:autoSpaceDE w:val="0"/>
              <w:autoSpaceDN w:val="0"/>
              <w:adjustRightInd w:val="0"/>
              <w:spacing w:line="360" w:lineRule="exact"/>
            </w:pPr>
            <w:r>
              <w:rPr>
                <w:rFonts w:hint="eastAsia"/>
              </w:rPr>
              <w:t>(2)故障响应时间满足项目需求</w:t>
            </w:r>
            <w:r>
              <w:rPr>
                <w:rFonts w:hint="eastAsia"/>
                <w:lang w:eastAsia="zh-CN"/>
              </w:rPr>
              <w:t>；</w:t>
            </w:r>
            <w:r>
              <w:rPr>
                <w:rFonts w:hint="eastAsia"/>
              </w:rPr>
              <w:t xml:space="preserve"> </w:t>
            </w:r>
          </w:p>
          <w:p w14:paraId="3001733E">
            <w:pPr>
              <w:autoSpaceDE w:val="0"/>
              <w:autoSpaceDN w:val="0"/>
              <w:adjustRightInd w:val="0"/>
              <w:spacing w:line="360" w:lineRule="exact"/>
            </w:pPr>
            <w:r>
              <w:rPr>
                <w:rFonts w:hint="eastAsia"/>
              </w:rPr>
              <w:t xml:space="preserve">(3)技术培训及备品备件支持计划内容具体，可行性高。 </w:t>
            </w:r>
          </w:p>
          <w:p w14:paraId="6C093920">
            <w:pPr>
              <w:autoSpaceDE w:val="0"/>
              <w:autoSpaceDN w:val="0"/>
              <w:adjustRightInd w:val="0"/>
              <w:spacing w:line="360" w:lineRule="exact"/>
            </w:pPr>
            <w:r>
              <w:rPr>
                <w:rFonts w:hint="eastAsia"/>
              </w:rPr>
              <w:t>评分标准</w:t>
            </w:r>
            <w:r>
              <w:rPr>
                <w:rFonts w:hint="eastAsia"/>
                <w:lang w:eastAsia="zh-CN"/>
              </w:rPr>
              <w:t>：</w:t>
            </w:r>
            <w:r>
              <w:rPr>
                <w:rFonts w:hint="eastAsia"/>
              </w:rPr>
              <w:t xml:space="preserve"> </w:t>
            </w:r>
          </w:p>
          <w:p w14:paraId="4C5FC938">
            <w:pPr>
              <w:autoSpaceDE w:val="0"/>
              <w:autoSpaceDN w:val="0"/>
              <w:adjustRightInd w:val="0"/>
              <w:spacing w:line="360" w:lineRule="exact"/>
              <w:rPr>
                <w:rFonts w:hint="eastAsia"/>
              </w:rPr>
            </w:pPr>
            <w:r>
              <w:rPr>
                <w:rFonts w:hint="eastAsia"/>
              </w:rPr>
              <w:t>满足以上三项要求得</w:t>
            </w:r>
            <w:r>
              <w:t>5</w:t>
            </w:r>
            <w:r>
              <w:rPr>
                <w:rFonts w:hint="eastAsia"/>
              </w:rPr>
              <w:t xml:space="preserve">分，满足以上两项要求得2分，满足以上一项要求得1分，其它情况不得分。 </w:t>
            </w:r>
          </w:p>
        </w:tc>
        <w:tc>
          <w:tcPr>
            <w:tcW w:w="1187" w:type="dxa"/>
            <w:noWrap w:val="0"/>
            <w:vAlign w:val="center"/>
          </w:tcPr>
          <w:p w14:paraId="731BC974">
            <w:pPr>
              <w:spacing w:line="360" w:lineRule="exact"/>
              <w:jc w:val="center"/>
              <w:rPr>
                <w:rFonts w:cs="仿宋"/>
                <w:lang w:val="zh-CN"/>
              </w:rPr>
            </w:pPr>
            <w:r>
              <w:rPr>
                <w:rFonts w:hint="eastAsia" w:cs="仿宋"/>
                <w:lang w:val="zh-CN"/>
              </w:rPr>
              <w:t>专家打分</w:t>
            </w:r>
          </w:p>
        </w:tc>
      </w:tr>
      <w:tr w14:paraId="2FB38A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47" w:hRule="atLeast"/>
          <w:jc w:val="center"/>
        </w:trPr>
        <w:tc>
          <w:tcPr>
            <w:tcW w:w="754" w:type="dxa"/>
            <w:noWrap w:val="0"/>
            <w:vAlign w:val="center"/>
          </w:tcPr>
          <w:p w14:paraId="1111A0F9">
            <w:pPr>
              <w:autoSpaceDE w:val="0"/>
              <w:autoSpaceDN w:val="0"/>
              <w:adjustRightInd w:val="0"/>
              <w:spacing w:line="360" w:lineRule="exact"/>
              <w:jc w:val="center"/>
              <w:rPr>
                <w:rFonts w:hint="eastAsia" w:cs="仿宋"/>
              </w:rPr>
            </w:pPr>
            <w:r>
              <w:rPr>
                <w:rFonts w:cs="仿宋"/>
              </w:rPr>
              <w:t>3</w:t>
            </w:r>
          </w:p>
        </w:tc>
        <w:tc>
          <w:tcPr>
            <w:tcW w:w="1143" w:type="dxa"/>
            <w:noWrap w:val="0"/>
            <w:vAlign w:val="center"/>
          </w:tcPr>
          <w:p w14:paraId="3302A655">
            <w:pPr>
              <w:spacing w:line="360" w:lineRule="exact"/>
              <w:jc w:val="center"/>
              <w:rPr>
                <w:rFonts w:hint="eastAsia"/>
              </w:rPr>
            </w:pPr>
            <w:r>
              <w:rPr>
                <w:rFonts w:hint="eastAsia"/>
              </w:rPr>
              <w:t xml:space="preserve">节能环保 </w:t>
            </w:r>
          </w:p>
        </w:tc>
        <w:tc>
          <w:tcPr>
            <w:tcW w:w="709" w:type="dxa"/>
            <w:noWrap w:val="0"/>
            <w:vAlign w:val="center"/>
          </w:tcPr>
          <w:p w14:paraId="43BB291C">
            <w:pPr>
              <w:spacing w:line="360" w:lineRule="exact"/>
              <w:jc w:val="center"/>
              <w:rPr>
                <w:rFonts w:hint="eastAsia"/>
              </w:rPr>
            </w:pPr>
            <w:r>
              <w:rPr>
                <w:rFonts w:hint="eastAsia"/>
              </w:rPr>
              <w:t>1</w:t>
            </w:r>
          </w:p>
        </w:tc>
        <w:tc>
          <w:tcPr>
            <w:tcW w:w="5953" w:type="dxa"/>
            <w:noWrap w:val="0"/>
            <w:vAlign w:val="center"/>
          </w:tcPr>
          <w:p w14:paraId="640DE9FB">
            <w:pPr>
              <w:autoSpaceDE w:val="0"/>
              <w:autoSpaceDN w:val="0"/>
              <w:adjustRightInd w:val="0"/>
              <w:spacing w:line="360" w:lineRule="exact"/>
            </w:pPr>
            <w:r>
              <w:rPr>
                <w:rFonts w:hint="eastAsia"/>
              </w:rPr>
              <w:t>评审内容</w:t>
            </w:r>
            <w:r>
              <w:rPr>
                <w:rFonts w:hint="eastAsia"/>
                <w:lang w:eastAsia="zh-CN"/>
              </w:rPr>
              <w:t>：</w:t>
            </w:r>
            <w:r>
              <w:rPr>
                <w:rFonts w:hint="eastAsia"/>
              </w:rPr>
              <w:t xml:space="preserve"> </w:t>
            </w:r>
          </w:p>
          <w:p w14:paraId="2FE14C20">
            <w:pPr>
              <w:autoSpaceDE w:val="0"/>
              <w:autoSpaceDN w:val="0"/>
              <w:adjustRightInd w:val="0"/>
              <w:spacing w:line="360" w:lineRule="exact"/>
            </w:pPr>
            <w:r>
              <w:rPr>
                <w:rFonts w:hint="eastAsia"/>
              </w:rPr>
              <w:t>投标人所投产品获得相关节能、环保产品认证情况</w:t>
            </w:r>
            <w:r>
              <w:rPr>
                <w:rFonts w:hint="eastAsia"/>
                <w:lang w:eastAsia="zh-CN"/>
              </w:rPr>
              <w:t>：</w:t>
            </w:r>
            <w:r>
              <w:rPr>
                <w:rFonts w:hint="eastAsia"/>
              </w:rPr>
              <w:t xml:space="preserve"> </w:t>
            </w:r>
          </w:p>
          <w:p w14:paraId="26EE089C">
            <w:pPr>
              <w:autoSpaceDE w:val="0"/>
              <w:autoSpaceDN w:val="0"/>
              <w:adjustRightInd w:val="0"/>
              <w:spacing w:line="360" w:lineRule="exact"/>
            </w:pPr>
            <w:r>
              <w:rPr>
                <w:rFonts w:hint="eastAsia"/>
              </w:rPr>
              <w:t>(1)节能产品</w:t>
            </w:r>
            <w:r>
              <w:rPr>
                <w:rFonts w:hint="eastAsia"/>
                <w:lang w:eastAsia="zh-CN"/>
              </w:rPr>
              <w:t>：</w:t>
            </w:r>
            <w:r>
              <w:rPr>
                <w:rFonts w:hint="eastAsia"/>
              </w:rPr>
              <w:t>投标产品属于财政部和国家发改委最新 公布的优先采购节能产品政府采购品目清单的得0.5分</w:t>
            </w:r>
            <w:r>
              <w:rPr>
                <w:rFonts w:hint="eastAsia"/>
                <w:lang w:eastAsia="zh-CN"/>
              </w:rPr>
              <w:t>；</w:t>
            </w:r>
            <w:r>
              <w:rPr>
                <w:rFonts w:hint="eastAsia"/>
              </w:rPr>
              <w:t xml:space="preserve">否则0分。 </w:t>
            </w:r>
          </w:p>
          <w:p w14:paraId="4BA7E8B4">
            <w:pPr>
              <w:autoSpaceDE w:val="0"/>
              <w:autoSpaceDN w:val="0"/>
              <w:adjustRightInd w:val="0"/>
              <w:spacing w:line="360" w:lineRule="exact"/>
            </w:pPr>
            <w:r>
              <w:rPr>
                <w:rFonts w:hint="eastAsia"/>
              </w:rPr>
              <w:t>(2)环境标志产品</w:t>
            </w:r>
            <w:r>
              <w:rPr>
                <w:rFonts w:hint="eastAsia"/>
                <w:lang w:eastAsia="zh-CN"/>
              </w:rPr>
              <w:t>：</w:t>
            </w:r>
            <w:r>
              <w:rPr>
                <w:rFonts w:hint="eastAsia"/>
              </w:rPr>
              <w:t>投标产品属于财政部和生态环境部 最新公布的优先采购环境标志产品政府采购品目清单的 得0.5分</w:t>
            </w:r>
            <w:r>
              <w:rPr>
                <w:rFonts w:hint="eastAsia"/>
                <w:lang w:eastAsia="zh-CN"/>
              </w:rPr>
              <w:t>；</w:t>
            </w:r>
            <w:r>
              <w:rPr>
                <w:rFonts w:hint="eastAsia"/>
              </w:rPr>
              <w:t xml:space="preserve">否则0分。 </w:t>
            </w:r>
          </w:p>
          <w:p w14:paraId="75A04582">
            <w:pPr>
              <w:autoSpaceDE w:val="0"/>
              <w:autoSpaceDN w:val="0"/>
              <w:adjustRightInd w:val="0"/>
              <w:spacing w:line="360" w:lineRule="exact"/>
            </w:pPr>
            <w:r>
              <w:rPr>
                <w:rFonts w:hint="eastAsia"/>
              </w:rPr>
              <w:t>评分依据</w:t>
            </w:r>
            <w:r>
              <w:rPr>
                <w:rFonts w:hint="eastAsia"/>
                <w:lang w:eastAsia="zh-CN"/>
              </w:rPr>
              <w:t>：</w:t>
            </w:r>
            <w:r>
              <w:rPr>
                <w:rFonts w:hint="eastAsia"/>
              </w:rPr>
              <w:t xml:space="preserve"> </w:t>
            </w:r>
          </w:p>
          <w:p w14:paraId="7730091A">
            <w:pPr>
              <w:autoSpaceDE w:val="0"/>
              <w:autoSpaceDN w:val="0"/>
              <w:adjustRightInd w:val="0"/>
              <w:spacing w:line="360" w:lineRule="exact"/>
              <w:rPr>
                <w:rFonts w:hint="eastAsia"/>
              </w:rPr>
            </w:pPr>
            <w:r>
              <w:rPr>
                <w:rFonts w:hint="eastAsia"/>
              </w:rPr>
              <w:t xml:space="preserve">提供国家确定的认证机构出具的处于有效期之内的节能产品认证证书复印件加盖投标人公章，原件备查，未提供或不清晰导致无法判断的不得分。 </w:t>
            </w:r>
          </w:p>
        </w:tc>
        <w:tc>
          <w:tcPr>
            <w:tcW w:w="1187" w:type="dxa"/>
            <w:noWrap w:val="0"/>
            <w:vAlign w:val="center"/>
          </w:tcPr>
          <w:p w14:paraId="6AD4090B">
            <w:pPr>
              <w:spacing w:line="360" w:lineRule="exact"/>
              <w:jc w:val="center"/>
              <w:rPr>
                <w:rFonts w:hint="eastAsia" w:cs="仿宋"/>
                <w:lang w:val="zh-CN"/>
              </w:rPr>
            </w:pPr>
          </w:p>
        </w:tc>
      </w:tr>
      <w:tr w14:paraId="192FB2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637" w:hRule="atLeast"/>
          <w:jc w:val="center"/>
        </w:trPr>
        <w:tc>
          <w:tcPr>
            <w:tcW w:w="754" w:type="dxa"/>
            <w:noWrap w:val="0"/>
            <w:vAlign w:val="center"/>
          </w:tcPr>
          <w:p w14:paraId="50E9B521">
            <w:pPr>
              <w:autoSpaceDE w:val="0"/>
              <w:autoSpaceDN w:val="0"/>
              <w:adjustRightInd w:val="0"/>
              <w:spacing w:line="360" w:lineRule="exact"/>
              <w:jc w:val="center"/>
              <w:rPr>
                <w:rFonts w:cs="仿宋"/>
                <w:lang w:val="zh-CN"/>
              </w:rPr>
            </w:pPr>
            <w:r>
              <w:rPr>
                <w:rFonts w:cs="仿宋"/>
              </w:rPr>
              <w:t>4</w:t>
            </w:r>
          </w:p>
        </w:tc>
        <w:tc>
          <w:tcPr>
            <w:tcW w:w="1143" w:type="dxa"/>
            <w:noWrap w:val="0"/>
            <w:vAlign w:val="center"/>
          </w:tcPr>
          <w:p w14:paraId="616BFB4A">
            <w:pPr>
              <w:spacing w:line="360" w:lineRule="exact"/>
              <w:jc w:val="center"/>
              <w:rPr>
                <w:rFonts w:cs="仿宋"/>
              </w:rPr>
            </w:pPr>
            <w:r>
              <w:rPr>
                <w:rFonts w:hint="eastAsia" w:cs="仿宋"/>
              </w:rPr>
              <w:t>诚信评审</w:t>
            </w:r>
          </w:p>
        </w:tc>
        <w:tc>
          <w:tcPr>
            <w:tcW w:w="709" w:type="dxa"/>
            <w:noWrap w:val="0"/>
            <w:vAlign w:val="center"/>
          </w:tcPr>
          <w:p w14:paraId="7925269B">
            <w:pPr>
              <w:spacing w:line="360" w:lineRule="exact"/>
              <w:jc w:val="center"/>
              <w:rPr>
                <w:rFonts w:cs="仿宋"/>
              </w:rPr>
            </w:pPr>
            <w:r>
              <w:rPr>
                <w:rFonts w:hint="eastAsia" w:cs="仿宋"/>
              </w:rPr>
              <w:t>5</w:t>
            </w:r>
          </w:p>
        </w:tc>
        <w:tc>
          <w:tcPr>
            <w:tcW w:w="5953" w:type="dxa"/>
            <w:noWrap w:val="0"/>
            <w:vAlign w:val="center"/>
          </w:tcPr>
          <w:p w14:paraId="0670E5AE">
            <w:pPr>
              <w:autoSpaceDE w:val="0"/>
              <w:autoSpaceDN w:val="0"/>
              <w:adjustRightInd w:val="0"/>
              <w:spacing w:line="360" w:lineRule="exact"/>
            </w:pPr>
            <w:r>
              <w:rPr>
                <w:rFonts w:hint="eastAsia"/>
              </w:rPr>
              <w:t>评审内容</w:t>
            </w:r>
            <w:r>
              <w:rPr>
                <w:rFonts w:hint="eastAsia"/>
                <w:lang w:eastAsia="zh-CN"/>
              </w:rPr>
              <w:t>：</w:t>
            </w:r>
            <w:r>
              <w:rPr>
                <w:rFonts w:hint="eastAsia"/>
              </w:rPr>
              <w:t xml:space="preserve"> </w:t>
            </w:r>
          </w:p>
          <w:p w14:paraId="632A0F5A">
            <w:pPr>
              <w:autoSpaceDE w:val="0"/>
              <w:autoSpaceDN w:val="0"/>
              <w:adjustRightInd w:val="0"/>
              <w:spacing w:line="360" w:lineRule="exact"/>
            </w:pPr>
            <w:r>
              <w:rPr>
                <w:rFonts w:hint="eastAsia"/>
              </w:rPr>
              <w:t>投标人因违法违规被记入诚信档案且在有效期内的，得 0 分</w:t>
            </w:r>
            <w:r>
              <w:rPr>
                <w:rFonts w:hint="eastAsia"/>
                <w:lang w:eastAsia="zh-CN"/>
              </w:rPr>
              <w:t>；</w:t>
            </w:r>
            <w:r>
              <w:rPr>
                <w:rFonts w:hint="eastAsia"/>
              </w:rPr>
              <w:t xml:space="preserve">不存在此类情况的，或虽受过行政处罚但修正行政处 罚期已满，可参与政府采购投标活动的，得 5 分。 </w:t>
            </w:r>
          </w:p>
          <w:p w14:paraId="63D61759">
            <w:pPr>
              <w:autoSpaceDE w:val="0"/>
              <w:autoSpaceDN w:val="0"/>
              <w:adjustRightInd w:val="0"/>
              <w:spacing w:line="360" w:lineRule="exact"/>
              <w:rPr>
                <w:rFonts w:hint="eastAsia" w:eastAsia="宋体"/>
                <w:lang w:eastAsia="zh-CN"/>
              </w:rPr>
            </w:pPr>
            <w:r>
              <w:rPr>
                <w:rFonts w:hint="eastAsia"/>
              </w:rPr>
              <w:t>评分依据</w:t>
            </w:r>
            <w:r>
              <w:rPr>
                <w:rFonts w:hint="eastAsia"/>
                <w:lang w:eastAsia="zh-CN"/>
              </w:rPr>
              <w:t>：</w:t>
            </w:r>
          </w:p>
          <w:p w14:paraId="43218619">
            <w:pPr>
              <w:autoSpaceDE w:val="0"/>
              <w:autoSpaceDN w:val="0"/>
              <w:adjustRightInd w:val="0"/>
              <w:spacing w:line="360" w:lineRule="exact"/>
              <w:rPr>
                <w:rFonts w:hint="eastAsia"/>
              </w:rPr>
            </w:pPr>
            <w:r>
              <w:rPr>
                <w:rFonts w:hint="eastAsia"/>
              </w:rPr>
              <w:t>提供企业诚信声明与承诺。</w:t>
            </w:r>
          </w:p>
        </w:tc>
        <w:tc>
          <w:tcPr>
            <w:tcW w:w="1187" w:type="dxa"/>
            <w:noWrap w:val="0"/>
            <w:vAlign w:val="center"/>
          </w:tcPr>
          <w:p w14:paraId="25271212">
            <w:pPr>
              <w:spacing w:line="360" w:lineRule="exact"/>
              <w:jc w:val="center"/>
              <w:rPr>
                <w:rFonts w:cs="仿宋"/>
                <w:lang w:val="zh-CN"/>
              </w:rPr>
            </w:pPr>
            <w:r>
              <w:rPr>
                <w:rFonts w:hint="eastAsia" w:cs="仿宋"/>
                <w:lang w:val="zh-CN"/>
              </w:rPr>
              <w:t>专家打分</w:t>
            </w:r>
          </w:p>
        </w:tc>
      </w:tr>
    </w:tbl>
    <w:p w14:paraId="7DE849D5">
      <w:pPr>
        <w:spacing w:line="360" w:lineRule="auto"/>
        <w:ind w:firstLine="630" w:firstLineChars="300"/>
        <w:rPr>
          <w:rFonts w:hint="eastAsia"/>
          <w:snapToGrid w:val="0"/>
          <w:kern w:val="0"/>
        </w:rPr>
      </w:pPr>
    </w:p>
    <w:p w14:paraId="3EB5F2BA">
      <w:pPr>
        <w:spacing w:line="440" w:lineRule="exact"/>
        <w:ind w:firstLine="420"/>
        <w:rPr>
          <w:rFonts w:ascii="宋体"/>
        </w:rPr>
      </w:pPr>
    </w:p>
    <w:p w14:paraId="078333D4">
      <w:pPr>
        <w:spacing w:line="300" w:lineRule="auto"/>
        <w:rPr>
          <w:rFonts w:hint="eastAsia" w:ascii="黑体" w:eastAsia="黑体"/>
          <w:b/>
          <w:sz w:val="28"/>
        </w:rPr>
      </w:pPr>
      <w:r>
        <w:rPr>
          <w:rFonts w:hint="eastAsia" w:ascii="黑体" w:eastAsia="黑体"/>
          <w:b/>
          <w:sz w:val="28"/>
        </w:rPr>
        <w:t>7</w:t>
      </w:r>
      <w:r>
        <w:rPr>
          <w:rFonts w:hint="eastAsia" w:ascii="黑体" w:eastAsia="黑体"/>
          <w:b/>
          <w:sz w:val="28"/>
          <w:lang w:eastAsia="zh-CN"/>
        </w:rPr>
        <w:t>、</w:t>
      </w:r>
      <w:r>
        <w:rPr>
          <w:rFonts w:hint="eastAsia" w:ascii="黑体" w:eastAsia="黑体"/>
          <w:b/>
          <w:sz w:val="28"/>
        </w:rPr>
        <w:t>其他</w:t>
      </w:r>
    </w:p>
    <w:p w14:paraId="515A39AA">
      <w:pPr>
        <w:spacing w:line="480" w:lineRule="exact"/>
        <w:ind w:firstLine="420" w:firstLineChars="200"/>
        <w:rPr>
          <w:rFonts w:ascii="宋体"/>
        </w:rPr>
      </w:pPr>
      <w:r>
        <w:rPr>
          <w:rFonts w:ascii="宋体"/>
        </w:rPr>
        <w:t>7</w:t>
      </w:r>
      <w:r>
        <w:rPr>
          <w:rFonts w:hint="eastAsia" w:ascii="宋体"/>
        </w:rPr>
        <w:t>.1. 招标单位承诺在整个招标过程中，坚持公正、公平、公开的原则，但招标单位无任何义务向投标人公布开标、评标和定标的有关细节或资料以及投标人落标的原因；</w:t>
      </w:r>
    </w:p>
    <w:p w14:paraId="31DAABF4">
      <w:pPr>
        <w:spacing w:line="480" w:lineRule="exact"/>
        <w:ind w:firstLine="420" w:firstLineChars="200"/>
        <w:rPr>
          <w:rFonts w:ascii="宋体"/>
        </w:rPr>
      </w:pPr>
      <w:r>
        <w:rPr>
          <w:rFonts w:ascii="宋体"/>
        </w:rPr>
        <w:t>7</w:t>
      </w:r>
      <w:r>
        <w:rPr>
          <w:rFonts w:hint="eastAsia" w:ascii="宋体"/>
        </w:rPr>
        <w:t>.2. 投标人自行承担其投标过程中所涉及的一切费用，在任何情况下招标单位对上述费用均不负任何责任；</w:t>
      </w:r>
    </w:p>
    <w:p w14:paraId="7225459B">
      <w:pPr>
        <w:spacing w:line="480" w:lineRule="exact"/>
        <w:ind w:firstLine="420" w:firstLineChars="200"/>
        <w:rPr>
          <w:rFonts w:ascii="宋体"/>
        </w:rPr>
      </w:pPr>
      <w:r>
        <w:rPr>
          <w:rFonts w:ascii="宋体"/>
        </w:rPr>
        <w:t>7</w:t>
      </w:r>
      <w:r>
        <w:rPr>
          <w:rFonts w:hint="eastAsia" w:ascii="宋体"/>
        </w:rPr>
        <w:t>.3. 所有投标资料不予退还；</w:t>
      </w:r>
    </w:p>
    <w:p w14:paraId="428293C7">
      <w:pPr>
        <w:spacing w:line="480" w:lineRule="exact"/>
        <w:ind w:firstLine="420" w:firstLineChars="200"/>
        <w:rPr>
          <w:rFonts w:ascii="宋体"/>
        </w:rPr>
      </w:pPr>
      <w:r>
        <w:rPr>
          <w:rFonts w:ascii="宋体"/>
        </w:rPr>
        <w:t>7</w:t>
      </w:r>
      <w:r>
        <w:rPr>
          <w:rFonts w:hint="eastAsia" w:ascii="宋体"/>
        </w:rPr>
        <w:t>.4. 如果中标单位在签订合同时，坚持提出附加条件和不合理的要求，招标单位有权取消其中标资格；</w:t>
      </w:r>
    </w:p>
    <w:p w14:paraId="44F5870F">
      <w:pPr>
        <w:spacing w:line="440" w:lineRule="exact"/>
        <w:ind w:firstLine="420"/>
        <w:rPr>
          <w:rFonts w:ascii="宋体"/>
        </w:rPr>
      </w:pPr>
      <w:r>
        <w:rPr>
          <w:rFonts w:ascii="宋体"/>
        </w:rPr>
        <w:t>7</w:t>
      </w:r>
      <w:r>
        <w:rPr>
          <w:rFonts w:hint="eastAsia" w:ascii="宋体"/>
        </w:rPr>
        <w:t>.5. 招标单位及工作人员在此次招标过程中，不索贿和受贿，不搞“吃拿卡要”行为，如有发现和举报，愿受有关部门查处。</w:t>
      </w:r>
      <w:r>
        <w:rPr>
          <w:rFonts w:ascii="宋体"/>
        </w:rPr>
        <w:br w:type="page"/>
      </w:r>
    </w:p>
    <w:p w14:paraId="3DCA4CA9">
      <w:pPr>
        <w:jc w:val="center"/>
        <w:rPr>
          <w:rFonts w:ascii="Cambria" w:hAnsi="Cambria"/>
          <w:b/>
          <w:bCs/>
          <w:sz w:val="32"/>
          <w:szCs w:val="32"/>
        </w:rPr>
      </w:pPr>
      <w:r>
        <w:rPr>
          <w:rFonts w:hint="eastAsia" w:ascii="Cambria" w:hAnsi="Cambria"/>
          <w:b/>
          <w:bCs/>
          <w:sz w:val="32"/>
          <w:szCs w:val="32"/>
        </w:rPr>
        <w:t>第二章  附  件</w:t>
      </w:r>
    </w:p>
    <w:p w14:paraId="04C3B4CB">
      <w:pPr>
        <w:spacing w:line="340" w:lineRule="exact"/>
        <w:rPr>
          <w:b/>
          <w:sz w:val="32"/>
        </w:rPr>
      </w:pPr>
    </w:p>
    <w:p w14:paraId="11A0E91E">
      <w:pPr>
        <w:pStyle w:val="24"/>
        <w:jc w:val="left"/>
        <w:rPr>
          <w:rFonts w:ascii="宋体"/>
          <w:b w:val="0"/>
          <w:sz w:val="30"/>
        </w:rPr>
      </w:pPr>
      <w:bookmarkStart w:id="1" w:name="_Toc391973359"/>
      <w:r>
        <w:rPr>
          <w:rStyle w:val="55"/>
          <w:rFonts w:hint="default"/>
          <w:color w:val="auto"/>
        </w:rPr>
        <w:t>附件1：</w:t>
      </w:r>
      <w:r>
        <w:rPr>
          <w:rFonts w:hint="eastAsia"/>
        </w:rPr>
        <w:t xml:space="preserve"> </w:t>
      </w:r>
      <w:bookmarkEnd w:id="1"/>
    </w:p>
    <w:p w14:paraId="73698AAB">
      <w:pPr>
        <w:spacing w:after="240"/>
        <w:jc w:val="center"/>
        <w:rPr>
          <w:rFonts w:ascii="宋体"/>
          <w:b/>
          <w:sz w:val="30"/>
        </w:rPr>
      </w:pPr>
      <w:r>
        <w:rPr>
          <w:rFonts w:hint="eastAsia" w:ascii="宋体"/>
          <w:b/>
          <w:sz w:val="30"/>
        </w:rPr>
        <w:t>投  标  书</w:t>
      </w:r>
    </w:p>
    <w:p w14:paraId="07DEBB5C">
      <w:pPr>
        <w:pStyle w:val="12"/>
      </w:pPr>
      <w:r>
        <w:rPr>
          <w:rFonts w:hint="eastAsia"/>
        </w:rPr>
        <w:t>深圳北京大学香港科技大学医学中心：</w:t>
      </w:r>
    </w:p>
    <w:p w14:paraId="0319AD71">
      <w:pPr>
        <w:pStyle w:val="22"/>
        <w:shd w:val="clear" w:color="auto" w:fill="FFFFFF"/>
        <w:spacing w:line="360" w:lineRule="auto"/>
        <w:rPr>
          <w:rFonts w:asciiTheme="majorEastAsia" w:hAnsiTheme="majorEastAsia" w:eastAsiaTheme="majorEastAsia"/>
          <w:sz w:val="21"/>
          <w:szCs w:val="21"/>
        </w:rPr>
      </w:pPr>
    </w:p>
    <w:p w14:paraId="092D45F8">
      <w:pPr>
        <w:pStyle w:val="22"/>
        <w:shd w:val="clear" w:color="auto" w:fill="FFFFFF"/>
        <w:spacing w:line="360" w:lineRule="auto"/>
        <w:rPr>
          <w:rFonts w:asciiTheme="majorEastAsia" w:hAnsiTheme="majorEastAsia" w:eastAsiaTheme="majorEastAsia"/>
          <w:color w:val="000000"/>
          <w:sz w:val="21"/>
          <w:szCs w:val="21"/>
        </w:rPr>
      </w:pPr>
      <w:r>
        <w:rPr>
          <w:rFonts w:hint="eastAsia" w:asciiTheme="majorEastAsia" w:hAnsiTheme="majorEastAsia" w:eastAsiaTheme="majorEastAsia"/>
          <w:sz w:val="21"/>
          <w:szCs w:val="21"/>
        </w:rPr>
        <w:t xml:space="preserve"> </w:t>
      </w:r>
      <w:r>
        <w:rPr>
          <w:rFonts w:asciiTheme="majorEastAsia" w:hAnsiTheme="majorEastAsia" w:eastAsiaTheme="majorEastAsia"/>
          <w:color w:val="000000"/>
          <w:sz w:val="21"/>
          <w:szCs w:val="21"/>
        </w:rPr>
        <w:t>1、</w:t>
      </w:r>
      <w:r>
        <w:rPr>
          <w:rFonts w:hint="eastAsia" w:asciiTheme="majorEastAsia" w:hAnsiTheme="majorEastAsia" w:eastAsiaTheme="majorEastAsia"/>
          <w:sz w:val="21"/>
          <w:szCs w:val="21"/>
        </w:rPr>
        <w:t>根据已收到医学中心</w:t>
      </w:r>
      <w:r>
        <w:rPr>
          <w:rFonts w:hint="eastAsia" w:asciiTheme="majorEastAsia" w:hAnsiTheme="majorEastAsia" w:eastAsiaTheme="majorEastAsia"/>
          <w:sz w:val="21"/>
          <w:szCs w:val="21"/>
          <w:lang w:val="en-US" w:eastAsia="zh-CN"/>
        </w:rPr>
        <w:t>无线网络改造项目</w:t>
      </w:r>
      <w:r>
        <w:rPr>
          <w:rFonts w:hint="eastAsia" w:asciiTheme="majorEastAsia" w:hAnsiTheme="majorEastAsia" w:eastAsiaTheme="majorEastAsia"/>
          <w:sz w:val="21"/>
          <w:szCs w:val="21"/>
        </w:rPr>
        <w:t>招标文件，遵照规定，</w:t>
      </w:r>
      <w:r>
        <w:rPr>
          <w:rFonts w:asciiTheme="majorEastAsia" w:hAnsiTheme="majorEastAsia" w:eastAsiaTheme="majorEastAsia"/>
          <w:color w:val="000000"/>
          <w:sz w:val="21"/>
          <w:szCs w:val="21"/>
        </w:rPr>
        <w:t>我公司愿按总报价人民币</w:t>
      </w:r>
      <w:r>
        <w:rPr>
          <w:rFonts w:asciiTheme="majorEastAsia" w:hAnsiTheme="majorEastAsia" w:eastAsiaTheme="majorEastAsia"/>
          <w:color w:val="000000"/>
          <w:sz w:val="21"/>
          <w:szCs w:val="21"/>
          <w:u w:val="single"/>
        </w:rPr>
        <w:t xml:space="preserve">   </w:t>
      </w:r>
      <w:r>
        <w:rPr>
          <w:rFonts w:asciiTheme="majorEastAsia" w:hAnsiTheme="majorEastAsia" w:eastAsiaTheme="majorEastAsia"/>
          <w:color w:val="000000"/>
          <w:sz w:val="21"/>
          <w:szCs w:val="21"/>
        </w:rPr>
        <w:t>万元完成招标文件要求的所有内容。</w:t>
      </w:r>
      <w:r>
        <w:rPr>
          <w:rFonts w:asciiTheme="majorEastAsia" w:hAnsiTheme="majorEastAsia" w:eastAsiaTheme="majorEastAsia"/>
          <w:color w:val="000000"/>
          <w:sz w:val="21"/>
          <w:szCs w:val="21"/>
        </w:rPr>
        <w:br w:type="textWrapping"/>
      </w:r>
      <w:r>
        <w:rPr>
          <w:rFonts w:asciiTheme="majorEastAsia" w:hAnsiTheme="majorEastAsia" w:eastAsiaTheme="majorEastAsia"/>
          <w:color w:val="000000"/>
          <w:sz w:val="21"/>
          <w:szCs w:val="21"/>
        </w:rPr>
        <w:t>2、如果贵单位接受我公司的投标，我公司保证按规定的期限完成</w:t>
      </w:r>
      <w:r>
        <w:rPr>
          <w:rFonts w:hint="eastAsia" w:asciiTheme="majorEastAsia" w:hAnsiTheme="majorEastAsia" w:eastAsiaTheme="majorEastAsia"/>
          <w:color w:val="000000"/>
          <w:sz w:val="21"/>
          <w:szCs w:val="21"/>
        </w:rPr>
        <w:t>IVC主机供货</w:t>
      </w:r>
      <w:r>
        <w:rPr>
          <w:rFonts w:asciiTheme="majorEastAsia" w:hAnsiTheme="majorEastAsia" w:eastAsiaTheme="majorEastAsia"/>
          <w:color w:val="000000"/>
          <w:sz w:val="21"/>
          <w:szCs w:val="21"/>
        </w:rPr>
        <w:t>。</w:t>
      </w:r>
      <w:r>
        <w:rPr>
          <w:rFonts w:asciiTheme="majorEastAsia" w:hAnsiTheme="majorEastAsia" w:eastAsiaTheme="majorEastAsia"/>
          <w:color w:val="000000"/>
          <w:sz w:val="21"/>
          <w:szCs w:val="21"/>
        </w:rPr>
        <w:br w:type="textWrapping"/>
      </w:r>
      <w:r>
        <w:rPr>
          <w:rFonts w:asciiTheme="majorEastAsia" w:hAnsiTheme="majorEastAsia" w:eastAsiaTheme="majorEastAsia"/>
          <w:color w:val="000000"/>
          <w:sz w:val="21"/>
          <w:szCs w:val="21"/>
        </w:rPr>
        <w:t>3、我公司同意在规定的递交标书截止之日起</w:t>
      </w:r>
      <w:r>
        <w:rPr>
          <w:rFonts w:asciiTheme="majorEastAsia" w:hAnsiTheme="majorEastAsia" w:eastAsiaTheme="majorEastAsia"/>
          <w:color w:val="000000"/>
          <w:sz w:val="21"/>
          <w:szCs w:val="21"/>
          <w:u w:val="single"/>
        </w:rPr>
        <w:t xml:space="preserve">  90 </w:t>
      </w:r>
      <w:r>
        <w:rPr>
          <w:rFonts w:asciiTheme="majorEastAsia" w:hAnsiTheme="majorEastAsia" w:eastAsiaTheme="majorEastAsia"/>
          <w:color w:val="000000"/>
          <w:sz w:val="21"/>
          <w:szCs w:val="21"/>
        </w:rPr>
        <w:t>天内遵守本投标。在该期限期满之前，本报价对我公司始终有约束力，并可随时被接受。</w:t>
      </w:r>
      <w:r>
        <w:rPr>
          <w:rFonts w:asciiTheme="majorEastAsia" w:hAnsiTheme="majorEastAsia" w:eastAsiaTheme="majorEastAsia"/>
          <w:color w:val="000000"/>
          <w:sz w:val="21"/>
          <w:szCs w:val="21"/>
        </w:rPr>
        <w:br w:type="textWrapping"/>
      </w:r>
      <w:r>
        <w:rPr>
          <w:rFonts w:asciiTheme="majorEastAsia" w:hAnsiTheme="majorEastAsia" w:eastAsiaTheme="majorEastAsia"/>
          <w:color w:val="000000"/>
          <w:sz w:val="21"/>
          <w:szCs w:val="21"/>
        </w:rPr>
        <w:t>4、在正式合同协议制定和签署之前，本公司报价连同贵单位的中标通知书应成为约束贵、我双方的合同文件。</w:t>
      </w:r>
      <w:r>
        <w:rPr>
          <w:rFonts w:asciiTheme="majorEastAsia" w:hAnsiTheme="majorEastAsia" w:eastAsiaTheme="majorEastAsia"/>
          <w:color w:val="000000"/>
          <w:sz w:val="21"/>
          <w:szCs w:val="21"/>
        </w:rPr>
        <w:br w:type="textWrapping"/>
      </w:r>
      <w:r>
        <w:rPr>
          <w:rFonts w:asciiTheme="majorEastAsia" w:hAnsiTheme="majorEastAsia" w:eastAsiaTheme="majorEastAsia"/>
          <w:color w:val="000000"/>
          <w:sz w:val="21"/>
          <w:szCs w:val="21"/>
        </w:rPr>
        <w:t>5、</w:t>
      </w:r>
      <w:r>
        <w:rPr>
          <w:rFonts w:hint="eastAsia" w:asciiTheme="majorEastAsia" w:hAnsiTheme="majorEastAsia" w:eastAsiaTheme="majorEastAsia"/>
          <w:sz w:val="21"/>
          <w:szCs w:val="21"/>
        </w:rPr>
        <w:t>我方理解贵方将不受必须接受你们所收到的最低标价或其他任何投标文件的约束。</w:t>
      </w:r>
    </w:p>
    <w:p w14:paraId="7CE83B0C">
      <w:pPr>
        <w:spacing w:line="500" w:lineRule="exact"/>
        <w:rPr>
          <w:rFonts w:ascii="宋体"/>
          <w:szCs w:val="21"/>
        </w:rPr>
      </w:pPr>
      <w:r>
        <w:rPr>
          <w:rFonts w:hint="eastAsia" w:ascii="宋体"/>
          <w:szCs w:val="21"/>
        </w:rPr>
        <w:t xml:space="preserve">   </w:t>
      </w:r>
    </w:p>
    <w:p w14:paraId="64B705FD">
      <w:pPr>
        <w:spacing w:line="400" w:lineRule="exact"/>
        <w:rPr>
          <w:rFonts w:ascii="宋体"/>
          <w:szCs w:val="21"/>
        </w:rPr>
      </w:pPr>
    </w:p>
    <w:p w14:paraId="2B4446D1">
      <w:pPr>
        <w:spacing w:line="400" w:lineRule="exact"/>
        <w:ind w:left="360"/>
        <w:rPr>
          <w:rFonts w:ascii="黑体" w:eastAsia="黑体"/>
          <w:szCs w:val="21"/>
        </w:rPr>
      </w:pPr>
      <w:r>
        <w:rPr>
          <w:rFonts w:hint="eastAsia" w:ascii="黑体" w:eastAsia="黑体"/>
          <w:szCs w:val="21"/>
        </w:rPr>
        <w:t>投标人：（印章）</w:t>
      </w:r>
    </w:p>
    <w:p w14:paraId="6E6045E3">
      <w:pPr>
        <w:spacing w:line="400" w:lineRule="exact"/>
        <w:ind w:left="357"/>
        <w:rPr>
          <w:rFonts w:ascii="黑体" w:eastAsia="黑体"/>
          <w:szCs w:val="21"/>
        </w:rPr>
      </w:pPr>
      <w:r>
        <w:rPr>
          <w:rFonts w:hint="eastAsia" w:ascii="黑体" w:eastAsia="黑体"/>
          <w:szCs w:val="21"/>
        </w:rPr>
        <w:t>单位地址：</w:t>
      </w:r>
    </w:p>
    <w:p w14:paraId="2E48884A">
      <w:pPr>
        <w:spacing w:line="400" w:lineRule="exact"/>
        <w:ind w:left="357"/>
        <w:rPr>
          <w:rFonts w:ascii="黑体" w:eastAsia="黑体"/>
          <w:szCs w:val="21"/>
        </w:rPr>
      </w:pPr>
      <w:r>
        <w:rPr>
          <w:rFonts w:hint="eastAsia" w:ascii="黑体" w:eastAsia="黑体"/>
          <w:szCs w:val="21"/>
        </w:rPr>
        <w:t>法定代表人：（签字、印章）</w:t>
      </w:r>
    </w:p>
    <w:p w14:paraId="730E3F1E">
      <w:pPr>
        <w:spacing w:line="400" w:lineRule="exact"/>
        <w:ind w:left="357"/>
        <w:rPr>
          <w:rFonts w:ascii="黑体" w:eastAsia="黑体"/>
          <w:szCs w:val="21"/>
        </w:rPr>
      </w:pPr>
      <w:r>
        <w:rPr>
          <w:rFonts w:hint="eastAsia" w:ascii="黑体" w:eastAsia="黑体"/>
          <w:szCs w:val="21"/>
        </w:rPr>
        <w:t>邮政编码：</w:t>
      </w:r>
    </w:p>
    <w:p w14:paraId="5EDEC34A">
      <w:pPr>
        <w:spacing w:line="400" w:lineRule="exact"/>
        <w:ind w:left="357"/>
        <w:rPr>
          <w:rFonts w:ascii="黑体" w:eastAsia="黑体"/>
          <w:szCs w:val="21"/>
        </w:rPr>
      </w:pPr>
      <w:r>
        <w:rPr>
          <w:rFonts w:hint="eastAsia" w:ascii="黑体" w:eastAsia="黑体"/>
          <w:szCs w:val="21"/>
        </w:rPr>
        <w:t>电话：</w:t>
      </w:r>
    </w:p>
    <w:p w14:paraId="2F26AB92">
      <w:pPr>
        <w:spacing w:line="400" w:lineRule="exact"/>
        <w:ind w:left="357"/>
        <w:rPr>
          <w:rFonts w:ascii="黑体" w:eastAsia="黑体"/>
          <w:szCs w:val="21"/>
        </w:rPr>
      </w:pPr>
      <w:r>
        <w:rPr>
          <w:rFonts w:hint="eastAsia" w:ascii="黑体" w:eastAsia="黑体"/>
          <w:szCs w:val="21"/>
        </w:rPr>
        <w:t>传真：</w:t>
      </w:r>
    </w:p>
    <w:p w14:paraId="3FB5BD54">
      <w:pPr>
        <w:spacing w:line="400" w:lineRule="exact"/>
        <w:ind w:left="357"/>
        <w:rPr>
          <w:rFonts w:ascii="黑体" w:eastAsia="黑体"/>
          <w:szCs w:val="21"/>
        </w:rPr>
      </w:pPr>
      <w:r>
        <w:rPr>
          <w:rFonts w:hint="eastAsia" w:ascii="黑体" w:eastAsia="黑体"/>
          <w:szCs w:val="21"/>
        </w:rPr>
        <w:t>开户银行名称：</w:t>
      </w:r>
    </w:p>
    <w:p w14:paraId="77A70EB4">
      <w:pPr>
        <w:spacing w:line="400" w:lineRule="exact"/>
        <w:ind w:left="357"/>
        <w:rPr>
          <w:rFonts w:ascii="黑体" w:eastAsia="黑体"/>
          <w:szCs w:val="21"/>
        </w:rPr>
      </w:pPr>
      <w:r>
        <w:rPr>
          <w:rFonts w:hint="eastAsia" w:ascii="黑体" w:eastAsia="黑体"/>
          <w:szCs w:val="21"/>
        </w:rPr>
        <w:t>银行帐号：</w:t>
      </w:r>
    </w:p>
    <w:p w14:paraId="43864CC7">
      <w:pPr>
        <w:spacing w:line="400" w:lineRule="exact"/>
        <w:ind w:left="357"/>
        <w:rPr>
          <w:rFonts w:ascii="黑体" w:eastAsia="黑体"/>
          <w:szCs w:val="21"/>
        </w:rPr>
      </w:pPr>
      <w:r>
        <w:rPr>
          <w:rFonts w:hint="eastAsia" w:ascii="黑体" w:eastAsia="黑体"/>
          <w:szCs w:val="21"/>
        </w:rPr>
        <w:t>开户银行地址：</w:t>
      </w:r>
    </w:p>
    <w:p w14:paraId="56D2ED48">
      <w:pPr>
        <w:spacing w:line="400" w:lineRule="exact"/>
        <w:ind w:left="357"/>
        <w:rPr>
          <w:rFonts w:ascii="黑体" w:eastAsia="黑体"/>
          <w:szCs w:val="21"/>
        </w:rPr>
      </w:pPr>
      <w:r>
        <w:rPr>
          <w:rFonts w:hint="eastAsia" w:ascii="黑体" w:eastAsia="黑体"/>
          <w:szCs w:val="21"/>
        </w:rPr>
        <w:t>电话：</w:t>
      </w:r>
    </w:p>
    <w:p w14:paraId="3D4AF141">
      <w:pPr>
        <w:spacing w:line="400" w:lineRule="exact"/>
        <w:ind w:left="360"/>
        <w:rPr>
          <w:rFonts w:ascii="黑体" w:eastAsia="黑体"/>
          <w:szCs w:val="21"/>
        </w:rPr>
      </w:pPr>
      <w:r>
        <w:rPr>
          <w:rFonts w:hint="eastAsia" w:ascii="黑体" w:eastAsia="黑体"/>
          <w:szCs w:val="21"/>
        </w:rPr>
        <w:t xml:space="preserve">                                 日期：202</w:t>
      </w:r>
      <w:r>
        <w:rPr>
          <w:rFonts w:hint="eastAsia" w:ascii="黑体" w:eastAsia="黑体"/>
          <w:szCs w:val="21"/>
          <w:lang w:val="en-US" w:eastAsia="zh-CN"/>
        </w:rPr>
        <w:t>5</w:t>
      </w:r>
      <w:r>
        <w:rPr>
          <w:rFonts w:hint="eastAsia" w:ascii="黑体" w:eastAsia="黑体"/>
          <w:szCs w:val="21"/>
        </w:rPr>
        <w:t>年    月   日</w:t>
      </w:r>
    </w:p>
    <w:p w14:paraId="1F6561F7">
      <w:pPr>
        <w:spacing w:after="240"/>
        <w:rPr>
          <w:rFonts w:ascii="黑体" w:eastAsia="黑体"/>
          <w:sz w:val="24"/>
        </w:rPr>
      </w:pPr>
    </w:p>
    <w:p w14:paraId="0EC5A237">
      <w:pPr>
        <w:spacing w:after="240"/>
        <w:rPr>
          <w:rFonts w:ascii="黑体" w:eastAsia="黑体"/>
          <w:sz w:val="24"/>
        </w:rPr>
      </w:pPr>
    </w:p>
    <w:p w14:paraId="717F23FB">
      <w:pPr>
        <w:spacing w:after="240"/>
        <w:rPr>
          <w:rFonts w:ascii="黑体" w:eastAsia="黑体"/>
          <w:sz w:val="24"/>
        </w:rPr>
      </w:pPr>
    </w:p>
    <w:p w14:paraId="6A82BC46">
      <w:pPr>
        <w:spacing w:after="240"/>
        <w:rPr>
          <w:rFonts w:ascii="黑体" w:eastAsia="黑体"/>
          <w:sz w:val="24"/>
        </w:rPr>
      </w:pPr>
    </w:p>
    <w:p w14:paraId="221E0C51">
      <w:pPr>
        <w:spacing w:after="120"/>
        <w:rPr>
          <w:rFonts w:ascii="黑体" w:eastAsia="黑体"/>
          <w:bCs/>
          <w:sz w:val="24"/>
          <w:szCs w:val="18"/>
        </w:rPr>
      </w:pPr>
      <w:r>
        <w:rPr>
          <w:rStyle w:val="55"/>
          <w:rFonts w:hint="default"/>
          <w:color w:val="auto"/>
        </w:rPr>
        <w:t>附件2：</w:t>
      </w:r>
      <w:r>
        <w:rPr>
          <w:rFonts w:hint="eastAsia" w:ascii="黑体" w:eastAsia="黑体"/>
          <w:bCs/>
          <w:sz w:val="24"/>
          <w:szCs w:val="18"/>
        </w:rPr>
        <w:t>辅助资料表</w:t>
      </w:r>
    </w:p>
    <w:p w14:paraId="6E8B05E2">
      <w:pPr>
        <w:spacing w:line="360" w:lineRule="auto"/>
        <w:jc w:val="center"/>
        <w:rPr>
          <w:rFonts w:ascii="黑体" w:eastAsia="黑体"/>
          <w:sz w:val="28"/>
        </w:rPr>
      </w:pPr>
      <w:r>
        <w:rPr>
          <w:rFonts w:hint="eastAsia" w:ascii="黑体" w:eastAsia="黑体"/>
          <w:sz w:val="28"/>
        </w:rPr>
        <w:t>表1  企业基本状况一览表</w:t>
      </w:r>
    </w:p>
    <w:p w14:paraId="56CF0366">
      <w:pPr>
        <w:spacing w:line="360" w:lineRule="auto"/>
        <w:rPr>
          <w:rFonts w:ascii="宋体"/>
        </w:rPr>
      </w:pPr>
    </w:p>
    <w:tbl>
      <w:tblPr>
        <w:tblStyle w:val="26"/>
        <w:tblW w:w="8993" w:type="dxa"/>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3"/>
        <w:gridCol w:w="1182"/>
        <w:gridCol w:w="761"/>
        <w:gridCol w:w="1117"/>
        <w:gridCol w:w="1360"/>
        <w:gridCol w:w="3500"/>
      </w:tblGrid>
      <w:tr w14:paraId="24A00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exact"/>
        </w:trPr>
        <w:tc>
          <w:tcPr>
            <w:tcW w:w="1073" w:type="dxa"/>
            <w:vAlign w:val="center"/>
          </w:tcPr>
          <w:p w14:paraId="5D3335B1">
            <w:pPr>
              <w:spacing w:line="360" w:lineRule="auto"/>
              <w:jc w:val="center"/>
            </w:pPr>
            <w:r>
              <w:rPr>
                <w:rFonts w:hint="eastAsia"/>
              </w:rPr>
              <w:t>企业名称</w:t>
            </w:r>
          </w:p>
        </w:tc>
        <w:tc>
          <w:tcPr>
            <w:tcW w:w="3060" w:type="dxa"/>
            <w:gridSpan w:val="3"/>
            <w:vAlign w:val="center"/>
          </w:tcPr>
          <w:p w14:paraId="5F71DC69">
            <w:pPr>
              <w:spacing w:line="360" w:lineRule="auto"/>
              <w:jc w:val="center"/>
            </w:pPr>
          </w:p>
        </w:tc>
        <w:tc>
          <w:tcPr>
            <w:tcW w:w="1360" w:type="dxa"/>
            <w:vAlign w:val="center"/>
          </w:tcPr>
          <w:p w14:paraId="272D2691">
            <w:pPr>
              <w:spacing w:line="360" w:lineRule="auto"/>
              <w:jc w:val="center"/>
            </w:pPr>
            <w:r>
              <w:rPr>
                <w:rFonts w:hint="eastAsia"/>
              </w:rPr>
              <w:t>法定代表人</w:t>
            </w:r>
          </w:p>
        </w:tc>
        <w:tc>
          <w:tcPr>
            <w:tcW w:w="3500" w:type="dxa"/>
            <w:vAlign w:val="center"/>
          </w:tcPr>
          <w:p w14:paraId="1E9D4313">
            <w:pPr>
              <w:spacing w:line="360" w:lineRule="auto"/>
            </w:pPr>
          </w:p>
        </w:tc>
      </w:tr>
      <w:tr w14:paraId="53AE2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exact"/>
        </w:trPr>
        <w:tc>
          <w:tcPr>
            <w:tcW w:w="1073" w:type="dxa"/>
            <w:vAlign w:val="center"/>
          </w:tcPr>
          <w:p w14:paraId="23884BA0">
            <w:pPr>
              <w:spacing w:line="360" w:lineRule="auto"/>
              <w:jc w:val="center"/>
            </w:pPr>
            <w:r>
              <w:rPr>
                <w:rFonts w:hint="eastAsia"/>
              </w:rPr>
              <w:t>注册地址</w:t>
            </w:r>
          </w:p>
        </w:tc>
        <w:tc>
          <w:tcPr>
            <w:tcW w:w="3060" w:type="dxa"/>
            <w:gridSpan w:val="3"/>
            <w:vAlign w:val="center"/>
          </w:tcPr>
          <w:p w14:paraId="447BAF23">
            <w:pPr>
              <w:spacing w:line="360" w:lineRule="auto"/>
              <w:jc w:val="center"/>
            </w:pPr>
          </w:p>
        </w:tc>
        <w:tc>
          <w:tcPr>
            <w:tcW w:w="1360" w:type="dxa"/>
            <w:vAlign w:val="center"/>
          </w:tcPr>
          <w:p w14:paraId="01C42555">
            <w:pPr>
              <w:spacing w:line="360" w:lineRule="auto"/>
              <w:jc w:val="center"/>
            </w:pPr>
            <w:r>
              <w:rPr>
                <w:rFonts w:hint="eastAsia"/>
              </w:rPr>
              <w:t>邮政编码</w:t>
            </w:r>
          </w:p>
        </w:tc>
        <w:tc>
          <w:tcPr>
            <w:tcW w:w="3500" w:type="dxa"/>
            <w:vAlign w:val="center"/>
          </w:tcPr>
          <w:p w14:paraId="0CF7AF69">
            <w:pPr>
              <w:spacing w:line="360" w:lineRule="auto"/>
            </w:pPr>
          </w:p>
        </w:tc>
      </w:tr>
      <w:tr w14:paraId="4B269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exact"/>
        </w:trPr>
        <w:tc>
          <w:tcPr>
            <w:tcW w:w="1073" w:type="dxa"/>
            <w:vAlign w:val="center"/>
          </w:tcPr>
          <w:p w14:paraId="58B88871">
            <w:pPr>
              <w:spacing w:line="360" w:lineRule="auto"/>
              <w:jc w:val="center"/>
            </w:pPr>
            <w:r>
              <w:rPr>
                <w:rFonts w:hint="eastAsia"/>
              </w:rPr>
              <w:t>成立时间</w:t>
            </w:r>
          </w:p>
        </w:tc>
        <w:tc>
          <w:tcPr>
            <w:tcW w:w="1182" w:type="dxa"/>
            <w:vAlign w:val="center"/>
          </w:tcPr>
          <w:p w14:paraId="63915930">
            <w:pPr>
              <w:spacing w:line="360" w:lineRule="auto"/>
              <w:jc w:val="center"/>
            </w:pPr>
          </w:p>
        </w:tc>
        <w:tc>
          <w:tcPr>
            <w:tcW w:w="761" w:type="dxa"/>
            <w:vAlign w:val="center"/>
          </w:tcPr>
          <w:p w14:paraId="23FB20F8">
            <w:pPr>
              <w:spacing w:line="360" w:lineRule="auto"/>
              <w:jc w:val="center"/>
            </w:pPr>
            <w:r>
              <w:rPr>
                <w:rFonts w:hint="eastAsia"/>
              </w:rPr>
              <w:t>电话</w:t>
            </w:r>
          </w:p>
        </w:tc>
        <w:tc>
          <w:tcPr>
            <w:tcW w:w="1117" w:type="dxa"/>
            <w:vAlign w:val="center"/>
          </w:tcPr>
          <w:p w14:paraId="7EC99DC1">
            <w:pPr>
              <w:spacing w:line="360" w:lineRule="auto"/>
              <w:jc w:val="center"/>
            </w:pPr>
          </w:p>
        </w:tc>
        <w:tc>
          <w:tcPr>
            <w:tcW w:w="1360" w:type="dxa"/>
            <w:vAlign w:val="center"/>
          </w:tcPr>
          <w:p w14:paraId="65AB3739">
            <w:pPr>
              <w:spacing w:line="360" w:lineRule="auto"/>
              <w:jc w:val="center"/>
            </w:pPr>
            <w:r>
              <w:rPr>
                <w:rFonts w:hint="eastAsia"/>
              </w:rPr>
              <w:t>传  真</w:t>
            </w:r>
          </w:p>
        </w:tc>
        <w:tc>
          <w:tcPr>
            <w:tcW w:w="3500" w:type="dxa"/>
            <w:vAlign w:val="center"/>
          </w:tcPr>
          <w:p w14:paraId="7CBEF41C">
            <w:pPr>
              <w:spacing w:line="360" w:lineRule="auto"/>
            </w:pPr>
          </w:p>
        </w:tc>
      </w:tr>
      <w:tr w14:paraId="19F7A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exact"/>
        </w:trPr>
        <w:tc>
          <w:tcPr>
            <w:tcW w:w="1073" w:type="dxa"/>
            <w:vAlign w:val="center"/>
          </w:tcPr>
          <w:p w14:paraId="4DC7D69E">
            <w:pPr>
              <w:spacing w:line="360" w:lineRule="auto"/>
              <w:jc w:val="center"/>
            </w:pPr>
            <w:r>
              <w:rPr>
                <w:rFonts w:hint="eastAsia"/>
              </w:rPr>
              <w:t>企业资质</w:t>
            </w:r>
          </w:p>
        </w:tc>
        <w:tc>
          <w:tcPr>
            <w:tcW w:w="3060" w:type="dxa"/>
            <w:gridSpan w:val="3"/>
            <w:vAlign w:val="center"/>
          </w:tcPr>
          <w:p w14:paraId="43B6E54D">
            <w:pPr>
              <w:spacing w:line="360" w:lineRule="auto"/>
              <w:jc w:val="center"/>
            </w:pPr>
          </w:p>
        </w:tc>
        <w:tc>
          <w:tcPr>
            <w:tcW w:w="1360" w:type="dxa"/>
            <w:vAlign w:val="center"/>
          </w:tcPr>
          <w:p w14:paraId="36C42F92">
            <w:pPr>
              <w:spacing w:line="360" w:lineRule="auto"/>
              <w:jc w:val="center"/>
            </w:pPr>
            <w:r>
              <w:rPr>
                <w:rFonts w:hint="eastAsia"/>
              </w:rPr>
              <w:t>营业执照</w:t>
            </w:r>
          </w:p>
        </w:tc>
        <w:tc>
          <w:tcPr>
            <w:tcW w:w="3500" w:type="dxa"/>
            <w:vAlign w:val="center"/>
          </w:tcPr>
          <w:p w14:paraId="45CCA914">
            <w:pPr>
              <w:spacing w:line="360" w:lineRule="auto"/>
            </w:pPr>
          </w:p>
        </w:tc>
      </w:tr>
      <w:tr w14:paraId="0C3A6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exact"/>
        </w:trPr>
        <w:tc>
          <w:tcPr>
            <w:tcW w:w="1073" w:type="dxa"/>
            <w:vAlign w:val="center"/>
          </w:tcPr>
          <w:p w14:paraId="402968CC">
            <w:pPr>
              <w:spacing w:line="360" w:lineRule="auto"/>
              <w:jc w:val="center"/>
            </w:pPr>
            <w:r>
              <w:rPr>
                <w:rFonts w:hint="eastAsia"/>
              </w:rPr>
              <w:t>承包经历</w:t>
            </w:r>
          </w:p>
        </w:tc>
        <w:tc>
          <w:tcPr>
            <w:tcW w:w="7920" w:type="dxa"/>
            <w:gridSpan w:val="5"/>
            <w:vAlign w:val="center"/>
          </w:tcPr>
          <w:p w14:paraId="2005A366">
            <w:pPr>
              <w:spacing w:line="360" w:lineRule="auto"/>
            </w:pPr>
            <w:r>
              <w:rPr>
                <w:rFonts w:hint="eastAsia"/>
              </w:rPr>
              <w:t xml:space="preserve">          年(国内)                          年(国际)</w:t>
            </w:r>
          </w:p>
        </w:tc>
      </w:tr>
      <w:tr w14:paraId="346AB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exact"/>
        </w:trPr>
        <w:tc>
          <w:tcPr>
            <w:tcW w:w="1073" w:type="dxa"/>
            <w:vAlign w:val="center"/>
          </w:tcPr>
          <w:p w14:paraId="36955488">
            <w:pPr>
              <w:spacing w:line="360" w:lineRule="auto"/>
              <w:jc w:val="center"/>
            </w:pPr>
            <w:r>
              <w:rPr>
                <w:rFonts w:hint="eastAsia"/>
              </w:rPr>
              <w:t>职工人员</w:t>
            </w:r>
          </w:p>
        </w:tc>
        <w:tc>
          <w:tcPr>
            <w:tcW w:w="7920" w:type="dxa"/>
            <w:gridSpan w:val="5"/>
            <w:vAlign w:val="center"/>
          </w:tcPr>
          <w:p w14:paraId="76F5E494">
            <w:pPr>
              <w:spacing w:line="360" w:lineRule="auto"/>
            </w:pPr>
            <w:r>
              <w:rPr>
                <w:rFonts w:hint="eastAsia"/>
              </w:rPr>
              <w:t>总人数：               技术人员：             管理人员：</w:t>
            </w:r>
          </w:p>
        </w:tc>
      </w:tr>
      <w:tr w14:paraId="3C2EF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50" w:hRule="atLeast"/>
        </w:trPr>
        <w:tc>
          <w:tcPr>
            <w:tcW w:w="8993" w:type="dxa"/>
            <w:gridSpan w:val="6"/>
          </w:tcPr>
          <w:p w14:paraId="3682B1AF">
            <w:pPr>
              <w:spacing w:line="360" w:lineRule="auto"/>
              <w:jc w:val="center"/>
            </w:pPr>
          </w:p>
          <w:p w14:paraId="29BBCDF7">
            <w:pPr>
              <w:spacing w:line="360" w:lineRule="auto"/>
              <w:jc w:val="center"/>
            </w:pPr>
            <w:r>
              <w:rPr>
                <w:rFonts w:hint="eastAsia"/>
              </w:rPr>
              <w:t>组织机构框图</w:t>
            </w:r>
          </w:p>
          <w:p w14:paraId="5A5FFB89">
            <w:pPr>
              <w:spacing w:line="360" w:lineRule="auto"/>
              <w:jc w:val="center"/>
            </w:pPr>
            <w:r>
              <w:rPr>
                <w:rFonts w:hint="eastAsia"/>
              </w:rPr>
              <w:t>（包括结构、领导成员、主要技术人员、管理人员及数量等情况）</w:t>
            </w:r>
          </w:p>
        </w:tc>
      </w:tr>
    </w:tbl>
    <w:p w14:paraId="25229CDC">
      <w:pPr>
        <w:spacing w:line="360" w:lineRule="auto"/>
        <w:rPr>
          <w:rFonts w:ascii="黑体" w:eastAsia="黑体"/>
        </w:rPr>
      </w:pPr>
    </w:p>
    <w:p w14:paraId="36232698">
      <w:pPr>
        <w:spacing w:line="360" w:lineRule="auto"/>
        <w:rPr>
          <w:rFonts w:ascii="黑体" w:eastAsia="黑体"/>
        </w:rPr>
      </w:pPr>
    </w:p>
    <w:p w14:paraId="0A6DE08B">
      <w:pPr>
        <w:pStyle w:val="21"/>
        <w:spacing w:line="480" w:lineRule="auto"/>
        <w:ind w:left="142" w:firstLine="0"/>
        <w:rPr>
          <w:rStyle w:val="55"/>
          <w:rFonts w:hint="eastAsia"/>
          <w:color w:val="auto"/>
        </w:rPr>
      </w:pPr>
      <w:r>
        <w:rPr>
          <w:rStyle w:val="55"/>
          <w:rFonts w:hint="default"/>
          <w:color w:val="auto"/>
        </w:rPr>
        <w:t>附件3：</w:t>
      </w:r>
      <w:r>
        <w:rPr>
          <w:rStyle w:val="55"/>
          <w:rFonts w:hint="eastAsia" w:eastAsia="黑体"/>
          <w:color w:val="auto"/>
          <w:lang w:val="en-US" w:eastAsia="zh-CN"/>
        </w:rPr>
        <w:t>项目</w:t>
      </w:r>
      <w:r>
        <w:rPr>
          <w:rStyle w:val="55"/>
          <w:rFonts w:hint="eastAsia"/>
          <w:color w:val="auto"/>
        </w:rPr>
        <w:t>技术</w:t>
      </w:r>
      <w:r>
        <w:rPr>
          <w:rStyle w:val="55"/>
          <w:rFonts w:hint="eastAsia" w:eastAsia="黑体"/>
          <w:color w:val="auto"/>
          <w:lang w:val="en-US" w:eastAsia="zh-CN"/>
        </w:rPr>
        <w:t>参数</w:t>
      </w:r>
    </w:p>
    <w:p w14:paraId="72E16979">
      <w:pPr>
        <w:adjustRightInd w:val="0"/>
        <w:snapToGrid w:val="0"/>
        <w:spacing w:line="360" w:lineRule="auto"/>
        <w:rPr>
          <w:rFonts w:cs="宋体" w:asciiTheme="majorEastAsia" w:hAnsiTheme="majorEastAsia" w:eastAsiaTheme="majorEastAsia"/>
          <w:color w:val="000000"/>
          <w:kern w:val="0"/>
          <w:sz w:val="21"/>
          <w:szCs w:val="21"/>
          <w:lang w:val="en-US" w:eastAsia="zh-CN" w:bidi="ar-SA"/>
        </w:rPr>
      </w:pPr>
      <w:r>
        <w:rPr>
          <w:rFonts w:hint="eastAsia" w:cs="宋体" w:asciiTheme="majorEastAsia" w:hAnsiTheme="majorEastAsia" w:eastAsiaTheme="majorEastAsia"/>
          <w:color w:val="000000"/>
          <w:kern w:val="0"/>
          <w:sz w:val="21"/>
          <w:szCs w:val="21"/>
          <w:lang w:val="en-US" w:eastAsia="zh-CN" w:bidi="ar-SA"/>
        </w:rPr>
        <w:t>3</w:t>
      </w:r>
      <w:r>
        <w:rPr>
          <w:rFonts w:cs="宋体" w:asciiTheme="majorEastAsia" w:hAnsiTheme="majorEastAsia" w:eastAsiaTheme="majorEastAsia"/>
          <w:color w:val="000000"/>
          <w:kern w:val="0"/>
          <w:sz w:val="21"/>
          <w:szCs w:val="21"/>
          <w:lang w:val="en-US" w:eastAsia="zh-CN" w:bidi="ar-SA"/>
        </w:rPr>
        <w:t>.1</w:t>
      </w:r>
      <w:r>
        <w:rPr>
          <w:rFonts w:hint="eastAsia" w:cs="宋体" w:asciiTheme="majorEastAsia" w:hAnsiTheme="majorEastAsia" w:eastAsiaTheme="majorEastAsia"/>
          <w:color w:val="000000"/>
          <w:kern w:val="0"/>
          <w:sz w:val="21"/>
          <w:szCs w:val="21"/>
          <w:lang w:val="en-US" w:eastAsia="zh-CN" w:bidi="ar-SA"/>
        </w:rPr>
        <w:t xml:space="preserve"> 需求清单</w:t>
      </w:r>
    </w:p>
    <w:tbl>
      <w:tblPr>
        <w:tblStyle w:val="26"/>
        <w:tblW w:w="5000" w:type="pct"/>
        <w:tblInd w:w="0" w:type="dxa"/>
        <w:tblLayout w:type="autofit"/>
        <w:tblCellMar>
          <w:top w:w="0" w:type="dxa"/>
          <w:left w:w="108" w:type="dxa"/>
          <w:bottom w:w="0" w:type="dxa"/>
          <w:right w:w="108" w:type="dxa"/>
        </w:tblCellMar>
      </w:tblPr>
      <w:tblGrid>
        <w:gridCol w:w="1057"/>
        <w:gridCol w:w="3353"/>
        <w:gridCol w:w="1963"/>
        <w:gridCol w:w="1239"/>
        <w:gridCol w:w="1631"/>
      </w:tblGrid>
      <w:tr w14:paraId="467ADB3A">
        <w:tblPrEx>
          <w:tblCellMar>
            <w:top w:w="0" w:type="dxa"/>
            <w:left w:w="108" w:type="dxa"/>
            <w:bottom w:w="0" w:type="dxa"/>
            <w:right w:w="108" w:type="dxa"/>
          </w:tblCellMar>
        </w:tblPrEx>
        <w:trPr>
          <w:trHeight w:val="280" w:hRule="atLeast"/>
        </w:trPr>
        <w:tc>
          <w:tcPr>
            <w:tcW w:w="57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1F7538">
            <w:pPr>
              <w:jc w:val="center"/>
              <w:rPr>
                <w:color w:val="000000"/>
                <w:sz w:val="20"/>
                <w:szCs w:val="20"/>
              </w:rPr>
            </w:pPr>
            <w:r>
              <w:rPr>
                <w:rFonts w:hint="eastAsia"/>
                <w:color w:val="000000"/>
                <w:sz w:val="20"/>
                <w:szCs w:val="20"/>
              </w:rPr>
              <w:t>序号</w:t>
            </w:r>
          </w:p>
        </w:tc>
        <w:tc>
          <w:tcPr>
            <w:tcW w:w="1814" w:type="pct"/>
            <w:tcBorders>
              <w:top w:val="single" w:color="auto" w:sz="4" w:space="0"/>
              <w:left w:val="nil"/>
              <w:bottom w:val="single" w:color="auto" w:sz="4" w:space="0"/>
              <w:right w:val="single" w:color="auto" w:sz="4" w:space="0"/>
            </w:tcBorders>
            <w:shd w:val="clear" w:color="auto" w:fill="auto"/>
            <w:noWrap/>
            <w:vAlign w:val="center"/>
          </w:tcPr>
          <w:p w14:paraId="1B9CA2ED">
            <w:pPr>
              <w:jc w:val="center"/>
              <w:rPr>
                <w:rFonts w:hint="eastAsia"/>
                <w:color w:val="000000"/>
                <w:sz w:val="20"/>
                <w:szCs w:val="20"/>
              </w:rPr>
            </w:pPr>
            <w:r>
              <w:rPr>
                <w:rFonts w:hint="eastAsia"/>
                <w:color w:val="000000"/>
                <w:sz w:val="20"/>
                <w:szCs w:val="20"/>
              </w:rPr>
              <w:t>设备名称</w:t>
            </w:r>
          </w:p>
        </w:tc>
        <w:tc>
          <w:tcPr>
            <w:tcW w:w="1062" w:type="pct"/>
            <w:tcBorders>
              <w:top w:val="single" w:color="auto" w:sz="4" w:space="0"/>
              <w:left w:val="nil"/>
              <w:bottom w:val="single" w:color="auto" w:sz="4" w:space="0"/>
              <w:right w:val="single" w:color="auto" w:sz="4" w:space="0"/>
            </w:tcBorders>
            <w:shd w:val="clear" w:color="auto" w:fill="auto"/>
            <w:noWrap/>
            <w:vAlign w:val="center"/>
          </w:tcPr>
          <w:p w14:paraId="31EF0B5D">
            <w:pPr>
              <w:jc w:val="center"/>
              <w:rPr>
                <w:rFonts w:hint="eastAsia"/>
                <w:color w:val="000000"/>
                <w:sz w:val="20"/>
                <w:szCs w:val="20"/>
              </w:rPr>
            </w:pPr>
            <w:r>
              <w:rPr>
                <w:rFonts w:hint="eastAsia"/>
                <w:color w:val="000000"/>
                <w:sz w:val="20"/>
                <w:szCs w:val="20"/>
              </w:rPr>
              <w:t>数量</w:t>
            </w:r>
          </w:p>
        </w:tc>
        <w:tc>
          <w:tcPr>
            <w:tcW w:w="670" w:type="pct"/>
            <w:tcBorders>
              <w:top w:val="single" w:color="auto" w:sz="4" w:space="0"/>
              <w:left w:val="nil"/>
              <w:bottom w:val="single" w:color="auto" w:sz="4" w:space="0"/>
              <w:right w:val="single" w:color="auto" w:sz="4" w:space="0"/>
            </w:tcBorders>
            <w:shd w:val="clear" w:color="auto" w:fill="auto"/>
            <w:noWrap/>
            <w:vAlign w:val="center"/>
          </w:tcPr>
          <w:p w14:paraId="743CF542">
            <w:pPr>
              <w:jc w:val="center"/>
              <w:rPr>
                <w:rFonts w:hint="eastAsia"/>
                <w:color w:val="000000"/>
                <w:sz w:val="20"/>
                <w:szCs w:val="20"/>
              </w:rPr>
            </w:pPr>
            <w:r>
              <w:rPr>
                <w:rFonts w:hint="eastAsia"/>
                <w:color w:val="000000"/>
                <w:sz w:val="20"/>
                <w:szCs w:val="20"/>
              </w:rPr>
              <w:t>单位</w:t>
            </w:r>
          </w:p>
        </w:tc>
        <w:tc>
          <w:tcPr>
            <w:tcW w:w="882" w:type="pct"/>
            <w:tcBorders>
              <w:top w:val="single" w:color="auto" w:sz="4" w:space="0"/>
              <w:left w:val="nil"/>
              <w:bottom w:val="single" w:color="auto" w:sz="4" w:space="0"/>
              <w:right w:val="single" w:color="auto" w:sz="4" w:space="0"/>
            </w:tcBorders>
            <w:shd w:val="clear" w:color="auto" w:fill="auto"/>
            <w:noWrap/>
            <w:vAlign w:val="center"/>
          </w:tcPr>
          <w:p w14:paraId="613A768E">
            <w:pPr>
              <w:jc w:val="center"/>
              <w:rPr>
                <w:rFonts w:hint="eastAsia"/>
                <w:color w:val="000000"/>
                <w:sz w:val="20"/>
                <w:szCs w:val="20"/>
              </w:rPr>
            </w:pPr>
            <w:r>
              <w:rPr>
                <w:rFonts w:hint="eastAsia"/>
                <w:color w:val="000000"/>
                <w:sz w:val="20"/>
                <w:szCs w:val="20"/>
              </w:rPr>
              <w:t>备注</w:t>
            </w:r>
          </w:p>
        </w:tc>
      </w:tr>
      <w:tr w14:paraId="2695777E">
        <w:tblPrEx>
          <w:tblCellMar>
            <w:top w:w="0" w:type="dxa"/>
            <w:left w:w="108" w:type="dxa"/>
            <w:bottom w:w="0" w:type="dxa"/>
            <w:right w:w="108" w:type="dxa"/>
          </w:tblCellMar>
        </w:tblPrEx>
        <w:trPr>
          <w:trHeight w:val="280" w:hRule="atLeast"/>
        </w:trPr>
        <w:tc>
          <w:tcPr>
            <w:tcW w:w="572" w:type="pct"/>
            <w:tcBorders>
              <w:top w:val="nil"/>
              <w:left w:val="single" w:color="auto" w:sz="4" w:space="0"/>
              <w:bottom w:val="single" w:color="auto" w:sz="4" w:space="0"/>
              <w:right w:val="single" w:color="auto" w:sz="4" w:space="0"/>
            </w:tcBorders>
            <w:shd w:val="clear" w:color="auto" w:fill="auto"/>
            <w:noWrap/>
            <w:vAlign w:val="center"/>
          </w:tcPr>
          <w:p w14:paraId="6E970C63">
            <w:pPr>
              <w:jc w:val="center"/>
              <w:rPr>
                <w:rFonts w:hint="eastAsia"/>
                <w:color w:val="000000"/>
                <w:sz w:val="20"/>
                <w:szCs w:val="20"/>
              </w:rPr>
            </w:pPr>
            <w:r>
              <w:rPr>
                <w:rFonts w:hint="eastAsia"/>
                <w:color w:val="000000"/>
                <w:sz w:val="20"/>
                <w:szCs w:val="20"/>
              </w:rPr>
              <w:t>1</w:t>
            </w:r>
          </w:p>
        </w:tc>
        <w:tc>
          <w:tcPr>
            <w:tcW w:w="1814" w:type="pct"/>
            <w:tcBorders>
              <w:top w:val="nil"/>
              <w:left w:val="nil"/>
              <w:bottom w:val="single" w:color="auto" w:sz="4" w:space="0"/>
              <w:right w:val="single" w:color="auto" w:sz="4" w:space="0"/>
            </w:tcBorders>
            <w:shd w:val="clear" w:color="auto" w:fill="auto"/>
            <w:noWrap/>
            <w:vAlign w:val="center"/>
          </w:tcPr>
          <w:p w14:paraId="37B9D937">
            <w:pPr>
              <w:rPr>
                <w:rFonts w:hint="eastAsia"/>
                <w:color w:val="000000"/>
                <w:sz w:val="20"/>
                <w:szCs w:val="20"/>
              </w:rPr>
            </w:pPr>
            <w:r>
              <w:rPr>
                <w:rFonts w:hint="eastAsia"/>
                <w:color w:val="000000"/>
                <w:sz w:val="20"/>
                <w:szCs w:val="20"/>
              </w:rPr>
              <w:t>无线控制器</w:t>
            </w:r>
          </w:p>
        </w:tc>
        <w:tc>
          <w:tcPr>
            <w:tcW w:w="1062" w:type="pct"/>
            <w:tcBorders>
              <w:top w:val="nil"/>
              <w:left w:val="nil"/>
              <w:bottom w:val="single" w:color="auto" w:sz="4" w:space="0"/>
              <w:right w:val="single" w:color="auto" w:sz="4" w:space="0"/>
            </w:tcBorders>
            <w:shd w:val="clear" w:color="auto" w:fill="auto"/>
            <w:noWrap/>
            <w:vAlign w:val="center"/>
          </w:tcPr>
          <w:p w14:paraId="4615B71A">
            <w:pPr>
              <w:jc w:val="center"/>
              <w:rPr>
                <w:rFonts w:hint="eastAsia"/>
                <w:color w:val="000000"/>
                <w:sz w:val="20"/>
                <w:szCs w:val="20"/>
              </w:rPr>
            </w:pPr>
            <w:r>
              <w:rPr>
                <w:rFonts w:hint="eastAsia"/>
                <w:color w:val="000000"/>
                <w:sz w:val="20"/>
                <w:szCs w:val="20"/>
              </w:rPr>
              <w:t>1</w:t>
            </w:r>
          </w:p>
        </w:tc>
        <w:tc>
          <w:tcPr>
            <w:tcW w:w="670" w:type="pct"/>
            <w:tcBorders>
              <w:top w:val="nil"/>
              <w:left w:val="nil"/>
              <w:bottom w:val="single" w:color="auto" w:sz="4" w:space="0"/>
              <w:right w:val="single" w:color="auto" w:sz="4" w:space="0"/>
            </w:tcBorders>
            <w:shd w:val="clear" w:color="auto" w:fill="auto"/>
            <w:noWrap/>
            <w:vAlign w:val="center"/>
          </w:tcPr>
          <w:p w14:paraId="319FB464">
            <w:pPr>
              <w:jc w:val="center"/>
              <w:rPr>
                <w:rFonts w:hint="eastAsia"/>
                <w:color w:val="000000"/>
                <w:sz w:val="20"/>
                <w:szCs w:val="20"/>
              </w:rPr>
            </w:pPr>
            <w:r>
              <w:rPr>
                <w:rFonts w:hint="eastAsia"/>
                <w:color w:val="000000"/>
                <w:sz w:val="20"/>
                <w:szCs w:val="20"/>
              </w:rPr>
              <w:t>台</w:t>
            </w:r>
          </w:p>
        </w:tc>
        <w:tc>
          <w:tcPr>
            <w:tcW w:w="882" w:type="pct"/>
            <w:tcBorders>
              <w:top w:val="nil"/>
              <w:left w:val="nil"/>
              <w:bottom w:val="single" w:color="auto" w:sz="4" w:space="0"/>
              <w:right w:val="single" w:color="auto" w:sz="4" w:space="0"/>
            </w:tcBorders>
            <w:shd w:val="clear" w:color="auto" w:fill="auto"/>
            <w:noWrap/>
            <w:vAlign w:val="center"/>
          </w:tcPr>
          <w:p w14:paraId="4BB058C7">
            <w:pPr>
              <w:rPr>
                <w:rFonts w:hint="eastAsia"/>
                <w:color w:val="000000"/>
                <w:sz w:val="20"/>
                <w:szCs w:val="20"/>
              </w:rPr>
            </w:pPr>
            <w:r>
              <w:rPr>
                <w:rFonts w:hint="eastAsia"/>
                <w:color w:val="000000"/>
                <w:sz w:val="20"/>
                <w:szCs w:val="20"/>
              </w:rPr>
              <w:t>　</w:t>
            </w:r>
          </w:p>
        </w:tc>
      </w:tr>
      <w:tr w14:paraId="1F16C624">
        <w:tblPrEx>
          <w:tblCellMar>
            <w:top w:w="0" w:type="dxa"/>
            <w:left w:w="108" w:type="dxa"/>
            <w:bottom w:w="0" w:type="dxa"/>
            <w:right w:w="108" w:type="dxa"/>
          </w:tblCellMar>
        </w:tblPrEx>
        <w:trPr>
          <w:trHeight w:val="280" w:hRule="atLeast"/>
        </w:trPr>
        <w:tc>
          <w:tcPr>
            <w:tcW w:w="572" w:type="pct"/>
            <w:tcBorders>
              <w:top w:val="nil"/>
              <w:left w:val="single" w:color="auto" w:sz="4" w:space="0"/>
              <w:bottom w:val="single" w:color="auto" w:sz="4" w:space="0"/>
              <w:right w:val="single" w:color="auto" w:sz="4" w:space="0"/>
            </w:tcBorders>
            <w:shd w:val="clear" w:color="auto" w:fill="auto"/>
            <w:noWrap/>
            <w:vAlign w:val="center"/>
          </w:tcPr>
          <w:p w14:paraId="00040B00">
            <w:pPr>
              <w:jc w:val="center"/>
              <w:rPr>
                <w:rFonts w:hint="eastAsia"/>
                <w:color w:val="000000"/>
                <w:sz w:val="20"/>
                <w:szCs w:val="20"/>
              </w:rPr>
            </w:pPr>
            <w:r>
              <w:rPr>
                <w:rFonts w:hint="eastAsia"/>
                <w:color w:val="000000"/>
                <w:sz w:val="20"/>
                <w:szCs w:val="20"/>
              </w:rPr>
              <w:t>2</w:t>
            </w:r>
          </w:p>
        </w:tc>
        <w:tc>
          <w:tcPr>
            <w:tcW w:w="1814" w:type="pct"/>
            <w:tcBorders>
              <w:top w:val="nil"/>
              <w:left w:val="nil"/>
              <w:bottom w:val="single" w:color="auto" w:sz="4" w:space="0"/>
              <w:right w:val="single" w:color="auto" w:sz="4" w:space="0"/>
            </w:tcBorders>
            <w:shd w:val="clear" w:color="auto" w:fill="auto"/>
            <w:noWrap/>
            <w:vAlign w:val="center"/>
          </w:tcPr>
          <w:p w14:paraId="19D94554">
            <w:pPr>
              <w:rPr>
                <w:rFonts w:hint="eastAsia"/>
                <w:color w:val="000000"/>
                <w:sz w:val="20"/>
                <w:szCs w:val="20"/>
              </w:rPr>
            </w:pPr>
            <w:r>
              <w:rPr>
                <w:rFonts w:hint="eastAsia"/>
                <w:color w:val="000000"/>
                <w:sz w:val="20"/>
                <w:szCs w:val="20"/>
              </w:rPr>
              <w:t>网管软件</w:t>
            </w:r>
          </w:p>
        </w:tc>
        <w:tc>
          <w:tcPr>
            <w:tcW w:w="1062" w:type="pct"/>
            <w:tcBorders>
              <w:top w:val="nil"/>
              <w:left w:val="nil"/>
              <w:bottom w:val="single" w:color="auto" w:sz="4" w:space="0"/>
              <w:right w:val="single" w:color="auto" w:sz="4" w:space="0"/>
            </w:tcBorders>
            <w:shd w:val="clear" w:color="auto" w:fill="auto"/>
            <w:noWrap/>
            <w:vAlign w:val="center"/>
          </w:tcPr>
          <w:p w14:paraId="07D014A2">
            <w:pPr>
              <w:jc w:val="center"/>
              <w:rPr>
                <w:rFonts w:hint="eastAsia"/>
                <w:color w:val="000000"/>
                <w:sz w:val="20"/>
                <w:szCs w:val="20"/>
              </w:rPr>
            </w:pPr>
            <w:r>
              <w:rPr>
                <w:rFonts w:hint="eastAsia"/>
                <w:color w:val="000000"/>
                <w:sz w:val="20"/>
                <w:szCs w:val="20"/>
              </w:rPr>
              <w:t>1</w:t>
            </w:r>
          </w:p>
        </w:tc>
        <w:tc>
          <w:tcPr>
            <w:tcW w:w="670" w:type="pct"/>
            <w:tcBorders>
              <w:top w:val="nil"/>
              <w:left w:val="nil"/>
              <w:bottom w:val="single" w:color="auto" w:sz="4" w:space="0"/>
              <w:right w:val="single" w:color="auto" w:sz="4" w:space="0"/>
            </w:tcBorders>
            <w:shd w:val="clear" w:color="auto" w:fill="auto"/>
            <w:noWrap/>
            <w:vAlign w:val="center"/>
          </w:tcPr>
          <w:p w14:paraId="6B5B287A">
            <w:pPr>
              <w:jc w:val="center"/>
              <w:rPr>
                <w:rFonts w:hint="eastAsia"/>
                <w:color w:val="000000"/>
                <w:sz w:val="20"/>
                <w:szCs w:val="20"/>
              </w:rPr>
            </w:pPr>
            <w:r>
              <w:rPr>
                <w:rFonts w:hint="eastAsia"/>
                <w:color w:val="000000"/>
                <w:sz w:val="20"/>
                <w:szCs w:val="20"/>
              </w:rPr>
              <w:t>套</w:t>
            </w:r>
          </w:p>
        </w:tc>
        <w:tc>
          <w:tcPr>
            <w:tcW w:w="882" w:type="pct"/>
            <w:tcBorders>
              <w:top w:val="nil"/>
              <w:left w:val="nil"/>
              <w:bottom w:val="single" w:color="auto" w:sz="4" w:space="0"/>
              <w:right w:val="single" w:color="auto" w:sz="4" w:space="0"/>
            </w:tcBorders>
            <w:shd w:val="clear" w:color="auto" w:fill="auto"/>
            <w:noWrap/>
            <w:vAlign w:val="center"/>
          </w:tcPr>
          <w:p w14:paraId="1D20C929">
            <w:pPr>
              <w:rPr>
                <w:rFonts w:hint="eastAsia"/>
                <w:color w:val="000000"/>
                <w:sz w:val="20"/>
                <w:szCs w:val="20"/>
              </w:rPr>
            </w:pPr>
            <w:r>
              <w:rPr>
                <w:rFonts w:hint="eastAsia"/>
                <w:color w:val="000000"/>
                <w:sz w:val="20"/>
                <w:szCs w:val="20"/>
              </w:rPr>
              <w:t>　</w:t>
            </w:r>
          </w:p>
        </w:tc>
      </w:tr>
      <w:tr w14:paraId="03961531">
        <w:tblPrEx>
          <w:tblCellMar>
            <w:top w:w="0" w:type="dxa"/>
            <w:left w:w="108" w:type="dxa"/>
            <w:bottom w:w="0" w:type="dxa"/>
            <w:right w:w="108" w:type="dxa"/>
          </w:tblCellMar>
        </w:tblPrEx>
        <w:trPr>
          <w:trHeight w:val="280" w:hRule="atLeast"/>
        </w:trPr>
        <w:tc>
          <w:tcPr>
            <w:tcW w:w="572" w:type="pct"/>
            <w:tcBorders>
              <w:top w:val="nil"/>
              <w:left w:val="single" w:color="auto" w:sz="4" w:space="0"/>
              <w:bottom w:val="single" w:color="auto" w:sz="4" w:space="0"/>
              <w:right w:val="single" w:color="auto" w:sz="4" w:space="0"/>
            </w:tcBorders>
            <w:shd w:val="clear" w:color="auto" w:fill="auto"/>
            <w:noWrap/>
            <w:vAlign w:val="center"/>
          </w:tcPr>
          <w:p w14:paraId="33156CE6">
            <w:pPr>
              <w:jc w:val="center"/>
              <w:rPr>
                <w:rFonts w:hint="eastAsia"/>
                <w:color w:val="000000"/>
                <w:sz w:val="20"/>
                <w:szCs w:val="20"/>
              </w:rPr>
            </w:pPr>
            <w:r>
              <w:rPr>
                <w:rFonts w:hint="eastAsia"/>
                <w:color w:val="000000"/>
                <w:sz w:val="20"/>
                <w:szCs w:val="20"/>
              </w:rPr>
              <w:t>3</w:t>
            </w:r>
          </w:p>
        </w:tc>
        <w:tc>
          <w:tcPr>
            <w:tcW w:w="1814" w:type="pct"/>
            <w:tcBorders>
              <w:top w:val="nil"/>
              <w:left w:val="nil"/>
              <w:bottom w:val="single" w:color="auto" w:sz="4" w:space="0"/>
              <w:right w:val="single" w:color="auto" w:sz="4" w:space="0"/>
            </w:tcBorders>
            <w:shd w:val="clear" w:color="auto" w:fill="auto"/>
            <w:noWrap/>
            <w:vAlign w:val="center"/>
          </w:tcPr>
          <w:p w14:paraId="02ED9D30">
            <w:pPr>
              <w:rPr>
                <w:rFonts w:hint="eastAsia"/>
                <w:color w:val="000000"/>
                <w:sz w:val="20"/>
                <w:szCs w:val="20"/>
              </w:rPr>
            </w:pPr>
            <w:r>
              <w:rPr>
                <w:rFonts w:hint="eastAsia"/>
                <w:color w:val="000000"/>
                <w:sz w:val="20"/>
                <w:szCs w:val="20"/>
              </w:rPr>
              <w:t>POE交换机</w:t>
            </w:r>
          </w:p>
        </w:tc>
        <w:tc>
          <w:tcPr>
            <w:tcW w:w="1062" w:type="pct"/>
            <w:tcBorders>
              <w:top w:val="nil"/>
              <w:left w:val="nil"/>
              <w:bottom w:val="single" w:color="auto" w:sz="4" w:space="0"/>
              <w:right w:val="single" w:color="auto" w:sz="4" w:space="0"/>
            </w:tcBorders>
            <w:shd w:val="clear" w:color="auto" w:fill="auto"/>
            <w:noWrap/>
            <w:vAlign w:val="center"/>
          </w:tcPr>
          <w:p w14:paraId="20BD120A">
            <w:pPr>
              <w:jc w:val="center"/>
              <w:rPr>
                <w:rFonts w:hint="eastAsia" w:eastAsia="宋体"/>
                <w:color w:val="000000"/>
                <w:sz w:val="20"/>
                <w:szCs w:val="20"/>
                <w:lang w:eastAsia="zh-CN"/>
              </w:rPr>
            </w:pPr>
            <w:r>
              <w:rPr>
                <w:rFonts w:hint="eastAsia"/>
                <w:color w:val="000000"/>
                <w:sz w:val="20"/>
                <w:szCs w:val="20"/>
                <w:lang w:val="en-US" w:eastAsia="zh-CN"/>
              </w:rPr>
              <w:t>7</w:t>
            </w:r>
          </w:p>
        </w:tc>
        <w:tc>
          <w:tcPr>
            <w:tcW w:w="670" w:type="pct"/>
            <w:tcBorders>
              <w:top w:val="nil"/>
              <w:left w:val="nil"/>
              <w:bottom w:val="single" w:color="auto" w:sz="4" w:space="0"/>
              <w:right w:val="single" w:color="auto" w:sz="4" w:space="0"/>
            </w:tcBorders>
            <w:shd w:val="clear" w:color="auto" w:fill="auto"/>
            <w:noWrap/>
            <w:vAlign w:val="center"/>
          </w:tcPr>
          <w:p w14:paraId="103433BC">
            <w:pPr>
              <w:jc w:val="center"/>
              <w:rPr>
                <w:rFonts w:hint="eastAsia"/>
                <w:color w:val="000000"/>
                <w:sz w:val="20"/>
                <w:szCs w:val="20"/>
              </w:rPr>
            </w:pPr>
            <w:r>
              <w:rPr>
                <w:rFonts w:hint="eastAsia"/>
                <w:color w:val="000000"/>
                <w:sz w:val="20"/>
                <w:szCs w:val="20"/>
              </w:rPr>
              <w:t>台</w:t>
            </w:r>
          </w:p>
        </w:tc>
        <w:tc>
          <w:tcPr>
            <w:tcW w:w="882" w:type="pct"/>
            <w:tcBorders>
              <w:top w:val="nil"/>
              <w:left w:val="nil"/>
              <w:bottom w:val="single" w:color="auto" w:sz="4" w:space="0"/>
              <w:right w:val="single" w:color="auto" w:sz="4" w:space="0"/>
            </w:tcBorders>
            <w:shd w:val="clear" w:color="auto" w:fill="auto"/>
            <w:noWrap/>
            <w:vAlign w:val="center"/>
          </w:tcPr>
          <w:p w14:paraId="1C4B2FC7">
            <w:pPr>
              <w:jc w:val="center"/>
              <w:rPr>
                <w:rFonts w:hint="eastAsia"/>
                <w:color w:val="000000"/>
                <w:sz w:val="20"/>
                <w:szCs w:val="20"/>
              </w:rPr>
            </w:pPr>
            <w:r>
              <w:rPr>
                <w:rFonts w:hint="eastAsia"/>
                <w:color w:val="000000"/>
                <w:sz w:val="20"/>
                <w:szCs w:val="20"/>
              </w:rPr>
              <w:t>核心设备</w:t>
            </w:r>
          </w:p>
        </w:tc>
      </w:tr>
      <w:tr w14:paraId="26F35ABA">
        <w:tblPrEx>
          <w:tblCellMar>
            <w:top w:w="0" w:type="dxa"/>
            <w:left w:w="108" w:type="dxa"/>
            <w:bottom w:w="0" w:type="dxa"/>
            <w:right w:w="108" w:type="dxa"/>
          </w:tblCellMar>
        </w:tblPrEx>
        <w:trPr>
          <w:trHeight w:val="280" w:hRule="atLeast"/>
        </w:trPr>
        <w:tc>
          <w:tcPr>
            <w:tcW w:w="572" w:type="pct"/>
            <w:tcBorders>
              <w:top w:val="nil"/>
              <w:left w:val="single" w:color="auto" w:sz="4" w:space="0"/>
              <w:bottom w:val="single" w:color="auto" w:sz="4" w:space="0"/>
              <w:right w:val="single" w:color="auto" w:sz="4" w:space="0"/>
            </w:tcBorders>
            <w:shd w:val="clear" w:color="auto" w:fill="auto"/>
            <w:noWrap/>
            <w:vAlign w:val="center"/>
          </w:tcPr>
          <w:p w14:paraId="7D9A5E89">
            <w:pPr>
              <w:jc w:val="center"/>
              <w:rPr>
                <w:rFonts w:hint="eastAsia"/>
                <w:color w:val="000000"/>
                <w:sz w:val="20"/>
                <w:szCs w:val="20"/>
              </w:rPr>
            </w:pPr>
            <w:r>
              <w:rPr>
                <w:rFonts w:hint="eastAsia"/>
                <w:color w:val="000000"/>
                <w:sz w:val="20"/>
                <w:szCs w:val="20"/>
              </w:rPr>
              <w:t>4</w:t>
            </w:r>
          </w:p>
        </w:tc>
        <w:tc>
          <w:tcPr>
            <w:tcW w:w="1814" w:type="pct"/>
            <w:tcBorders>
              <w:top w:val="nil"/>
              <w:left w:val="nil"/>
              <w:bottom w:val="single" w:color="auto" w:sz="4" w:space="0"/>
              <w:right w:val="single" w:color="auto" w:sz="4" w:space="0"/>
            </w:tcBorders>
            <w:shd w:val="clear" w:color="auto" w:fill="auto"/>
            <w:noWrap/>
            <w:vAlign w:val="center"/>
          </w:tcPr>
          <w:p w14:paraId="4EF59FB3">
            <w:pPr>
              <w:rPr>
                <w:rFonts w:hint="eastAsia"/>
                <w:color w:val="000000"/>
                <w:sz w:val="20"/>
                <w:szCs w:val="20"/>
              </w:rPr>
            </w:pPr>
            <w:r>
              <w:rPr>
                <w:rFonts w:hint="eastAsia"/>
                <w:color w:val="000000"/>
                <w:sz w:val="20"/>
                <w:szCs w:val="20"/>
              </w:rPr>
              <w:t>吸顶AP</w:t>
            </w:r>
          </w:p>
        </w:tc>
        <w:tc>
          <w:tcPr>
            <w:tcW w:w="1062" w:type="pct"/>
            <w:tcBorders>
              <w:top w:val="nil"/>
              <w:left w:val="nil"/>
              <w:bottom w:val="single" w:color="auto" w:sz="4" w:space="0"/>
              <w:right w:val="single" w:color="auto" w:sz="4" w:space="0"/>
            </w:tcBorders>
            <w:shd w:val="clear" w:color="auto" w:fill="auto"/>
            <w:noWrap/>
            <w:vAlign w:val="center"/>
          </w:tcPr>
          <w:p w14:paraId="762E7818">
            <w:pPr>
              <w:jc w:val="center"/>
              <w:rPr>
                <w:rFonts w:hint="eastAsia" w:eastAsia="宋体"/>
                <w:color w:val="000000"/>
                <w:sz w:val="20"/>
                <w:szCs w:val="20"/>
                <w:lang w:eastAsia="zh-CN"/>
              </w:rPr>
            </w:pPr>
            <w:r>
              <w:rPr>
                <w:rFonts w:hint="eastAsia"/>
                <w:color w:val="000000"/>
                <w:sz w:val="20"/>
                <w:szCs w:val="20"/>
              </w:rPr>
              <w:t>5</w:t>
            </w:r>
            <w:r>
              <w:rPr>
                <w:rFonts w:hint="eastAsia"/>
                <w:color w:val="000000"/>
                <w:sz w:val="20"/>
                <w:szCs w:val="20"/>
                <w:lang w:val="en-US" w:eastAsia="zh-CN"/>
              </w:rPr>
              <w:t>9</w:t>
            </w:r>
          </w:p>
        </w:tc>
        <w:tc>
          <w:tcPr>
            <w:tcW w:w="670" w:type="pct"/>
            <w:tcBorders>
              <w:top w:val="nil"/>
              <w:left w:val="nil"/>
              <w:bottom w:val="single" w:color="auto" w:sz="4" w:space="0"/>
              <w:right w:val="single" w:color="auto" w:sz="4" w:space="0"/>
            </w:tcBorders>
            <w:shd w:val="clear" w:color="auto" w:fill="auto"/>
            <w:noWrap/>
            <w:vAlign w:val="center"/>
          </w:tcPr>
          <w:p w14:paraId="70004E82">
            <w:pPr>
              <w:jc w:val="center"/>
              <w:rPr>
                <w:rFonts w:hint="eastAsia"/>
                <w:color w:val="000000"/>
                <w:sz w:val="20"/>
                <w:szCs w:val="20"/>
              </w:rPr>
            </w:pPr>
            <w:r>
              <w:rPr>
                <w:rFonts w:hint="eastAsia"/>
                <w:color w:val="000000"/>
                <w:sz w:val="20"/>
                <w:szCs w:val="20"/>
              </w:rPr>
              <w:t>台</w:t>
            </w:r>
          </w:p>
        </w:tc>
        <w:tc>
          <w:tcPr>
            <w:tcW w:w="882" w:type="pct"/>
            <w:tcBorders>
              <w:top w:val="nil"/>
              <w:left w:val="nil"/>
              <w:bottom w:val="single" w:color="auto" w:sz="4" w:space="0"/>
              <w:right w:val="single" w:color="auto" w:sz="4" w:space="0"/>
            </w:tcBorders>
            <w:shd w:val="clear" w:color="auto" w:fill="auto"/>
            <w:noWrap/>
            <w:vAlign w:val="center"/>
          </w:tcPr>
          <w:p w14:paraId="022F48CE">
            <w:pPr>
              <w:rPr>
                <w:rFonts w:hint="eastAsia"/>
                <w:color w:val="000000"/>
                <w:sz w:val="20"/>
                <w:szCs w:val="20"/>
              </w:rPr>
            </w:pPr>
            <w:r>
              <w:rPr>
                <w:rFonts w:hint="eastAsia"/>
                <w:color w:val="000000"/>
                <w:sz w:val="20"/>
                <w:szCs w:val="20"/>
              </w:rPr>
              <w:t>　</w:t>
            </w:r>
          </w:p>
        </w:tc>
      </w:tr>
      <w:tr w14:paraId="6E834716">
        <w:tblPrEx>
          <w:tblCellMar>
            <w:top w:w="0" w:type="dxa"/>
            <w:left w:w="108" w:type="dxa"/>
            <w:bottom w:w="0" w:type="dxa"/>
            <w:right w:w="108" w:type="dxa"/>
          </w:tblCellMar>
        </w:tblPrEx>
        <w:trPr>
          <w:trHeight w:val="280" w:hRule="atLeast"/>
        </w:trPr>
        <w:tc>
          <w:tcPr>
            <w:tcW w:w="572" w:type="pct"/>
            <w:tcBorders>
              <w:top w:val="nil"/>
              <w:left w:val="single" w:color="auto" w:sz="4" w:space="0"/>
              <w:bottom w:val="single" w:color="auto" w:sz="4" w:space="0"/>
              <w:right w:val="single" w:color="auto" w:sz="4" w:space="0"/>
            </w:tcBorders>
            <w:shd w:val="clear" w:color="auto" w:fill="auto"/>
            <w:noWrap/>
            <w:vAlign w:val="center"/>
          </w:tcPr>
          <w:p w14:paraId="3F6DB7F0">
            <w:pPr>
              <w:jc w:val="center"/>
              <w:rPr>
                <w:rFonts w:hint="eastAsia"/>
                <w:color w:val="000000"/>
                <w:sz w:val="20"/>
                <w:szCs w:val="20"/>
              </w:rPr>
            </w:pPr>
            <w:r>
              <w:rPr>
                <w:rFonts w:hint="eastAsia"/>
                <w:color w:val="000000"/>
                <w:sz w:val="20"/>
                <w:szCs w:val="20"/>
              </w:rPr>
              <w:t>5</w:t>
            </w:r>
          </w:p>
        </w:tc>
        <w:tc>
          <w:tcPr>
            <w:tcW w:w="1814" w:type="pct"/>
            <w:tcBorders>
              <w:top w:val="nil"/>
              <w:left w:val="nil"/>
              <w:bottom w:val="single" w:color="auto" w:sz="4" w:space="0"/>
              <w:right w:val="single" w:color="auto" w:sz="4" w:space="0"/>
            </w:tcBorders>
            <w:shd w:val="clear" w:color="auto" w:fill="auto"/>
            <w:noWrap/>
            <w:vAlign w:val="center"/>
          </w:tcPr>
          <w:p w14:paraId="4BC4B1F9">
            <w:pPr>
              <w:rPr>
                <w:color w:val="000000"/>
                <w:sz w:val="20"/>
                <w:szCs w:val="20"/>
              </w:rPr>
            </w:pPr>
            <w:r>
              <w:rPr>
                <w:rFonts w:hint="eastAsia"/>
                <w:color w:val="000000"/>
                <w:sz w:val="20"/>
                <w:szCs w:val="20"/>
              </w:rPr>
              <w:t>高密</w:t>
            </w:r>
            <w:r>
              <w:rPr>
                <w:color w:val="000000"/>
                <w:sz w:val="20"/>
                <w:szCs w:val="20"/>
              </w:rPr>
              <w:t>AP</w:t>
            </w:r>
          </w:p>
        </w:tc>
        <w:tc>
          <w:tcPr>
            <w:tcW w:w="1062" w:type="pct"/>
            <w:tcBorders>
              <w:top w:val="nil"/>
              <w:left w:val="nil"/>
              <w:bottom w:val="single" w:color="auto" w:sz="4" w:space="0"/>
              <w:right w:val="single" w:color="auto" w:sz="4" w:space="0"/>
            </w:tcBorders>
            <w:shd w:val="clear" w:color="auto" w:fill="auto"/>
            <w:noWrap/>
            <w:vAlign w:val="center"/>
          </w:tcPr>
          <w:p w14:paraId="06CFF247">
            <w:pPr>
              <w:jc w:val="center"/>
              <w:rPr>
                <w:rFonts w:hint="eastAsia"/>
                <w:color w:val="000000"/>
                <w:sz w:val="20"/>
                <w:szCs w:val="20"/>
              </w:rPr>
            </w:pPr>
            <w:r>
              <w:rPr>
                <w:rFonts w:hint="eastAsia"/>
                <w:color w:val="000000"/>
                <w:sz w:val="20"/>
                <w:szCs w:val="20"/>
              </w:rPr>
              <w:t>3</w:t>
            </w:r>
          </w:p>
        </w:tc>
        <w:tc>
          <w:tcPr>
            <w:tcW w:w="670" w:type="pct"/>
            <w:tcBorders>
              <w:top w:val="nil"/>
              <w:left w:val="nil"/>
              <w:bottom w:val="single" w:color="auto" w:sz="4" w:space="0"/>
              <w:right w:val="single" w:color="auto" w:sz="4" w:space="0"/>
            </w:tcBorders>
            <w:shd w:val="clear" w:color="auto" w:fill="auto"/>
            <w:noWrap/>
            <w:vAlign w:val="center"/>
          </w:tcPr>
          <w:p w14:paraId="5408F54B">
            <w:pPr>
              <w:jc w:val="center"/>
              <w:rPr>
                <w:rFonts w:hint="eastAsia"/>
                <w:color w:val="000000"/>
                <w:sz w:val="20"/>
                <w:szCs w:val="20"/>
              </w:rPr>
            </w:pPr>
            <w:r>
              <w:rPr>
                <w:rFonts w:hint="eastAsia"/>
                <w:color w:val="000000"/>
                <w:sz w:val="20"/>
                <w:szCs w:val="20"/>
              </w:rPr>
              <w:t>台</w:t>
            </w:r>
          </w:p>
        </w:tc>
        <w:tc>
          <w:tcPr>
            <w:tcW w:w="882" w:type="pct"/>
            <w:tcBorders>
              <w:top w:val="nil"/>
              <w:left w:val="nil"/>
              <w:bottom w:val="single" w:color="auto" w:sz="4" w:space="0"/>
              <w:right w:val="single" w:color="auto" w:sz="4" w:space="0"/>
            </w:tcBorders>
            <w:shd w:val="clear" w:color="auto" w:fill="auto"/>
            <w:noWrap/>
            <w:vAlign w:val="center"/>
          </w:tcPr>
          <w:p w14:paraId="2EE81487">
            <w:pPr>
              <w:rPr>
                <w:rFonts w:hint="eastAsia"/>
                <w:color w:val="000000"/>
                <w:sz w:val="20"/>
                <w:szCs w:val="20"/>
              </w:rPr>
            </w:pPr>
          </w:p>
        </w:tc>
      </w:tr>
      <w:tr w14:paraId="0DE0BAEC">
        <w:tblPrEx>
          <w:tblCellMar>
            <w:top w:w="0" w:type="dxa"/>
            <w:left w:w="108" w:type="dxa"/>
            <w:bottom w:w="0" w:type="dxa"/>
            <w:right w:w="108" w:type="dxa"/>
          </w:tblCellMar>
        </w:tblPrEx>
        <w:trPr>
          <w:trHeight w:val="280" w:hRule="atLeast"/>
        </w:trPr>
        <w:tc>
          <w:tcPr>
            <w:tcW w:w="572" w:type="pct"/>
            <w:tcBorders>
              <w:top w:val="nil"/>
              <w:left w:val="single" w:color="auto" w:sz="4" w:space="0"/>
              <w:bottom w:val="single" w:color="auto" w:sz="4" w:space="0"/>
              <w:right w:val="single" w:color="auto" w:sz="4" w:space="0"/>
            </w:tcBorders>
            <w:shd w:val="clear" w:color="auto" w:fill="auto"/>
            <w:noWrap/>
            <w:vAlign w:val="center"/>
          </w:tcPr>
          <w:p w14:paraId="3F42AC28">
            <w:pPr>
              <w:jc w:val="center"/>
              <w:rPr>
                <w:rFonts w:hint="eastAsia"/>
                <w:color w:val="000000"/>
                <w:sz w:val="20"/>
                <w:szCs w:val="20"/>
              </w:rPr>
            </w:pPr>
            <w:r>
              <w:rPr>
                <w:rFonts w:hint="eastAsia"/>
                <w:color w:val="000000"/>
                <w:sz w:val="20"/>
                <w:szCs w:val="20"/>
              </w:rPr>
              <w:t>6</w:t>
            </w:r>
          </w:p>
        </w:tc>
        <w:tc>
          <w:tcPr>
            <w:tcW w:w="1814" w:type="pct"/>
            <w:tcBorders>
              <w:top w:val="nil"/>
              <w:left w:val="nil"/>
              <w:bottom w:val="single" w:color="auto" w:sz="4" w:space="0"/>
              <w:right w:val="single" w:color="auto" w:sz="4" w:space="0"/>
            </w:tcBorders>
            <w:shd w:val="clear" w:color="auto" w:fill="auto"/>
            <w:noWrap/>
            <w:vAlign w:val="center"/>
          </w:tcPr>
          <w:p w14:paraId="1DA89276">
            <w:pPr>
              <w:rPr>
                <w:rFonts w:hint="eastAsia"/>
                <w:color w:val="000000"/>
                <w:sz w:val="20"/>
                <w:szCs w:val="20"/>
              </w:rPr>
            </w:pPr>
            <w:r>
              <w:rPr>
                <w:rFonts w:hint="eastAsia"/>
                <w:color w:val="000000"/>
                <w:sz w:val="20"/>
                <w:szCs w:val="20"/>
              </w:rPr>
              <w:t>面板</w:t>
            </w:r>
            <w:r>
              <w:rPr>
                <w:color w:val="000000"/>
                <w:sz w:val="20"/>
                <w:szCs w:val="20"/>
              </w:rPr>
              <w:t>AP</w:t>
            </w:r>
          </w:p>
        </w:tc>
        <w:tc>
          <w:tcPr>
            <w:tcW w:w="1062" w:type="pct"/>
            <w:tcBorders>
              <w:top w:val="nil"/>
              <w:left w:val="nil"/>
              <w:bottom w:val="single" w:color="auto" w:sz="4" w:space="0"/>
              <w:right w:val="single" w:color="auto" w:sz="4" w:space="0"/>
            </w:tcBorders>
            <w:shd w:val="clear" w:color="auto" w:fill="auto"/>
            <w:noWrap/>
            <w:vAlign w:val="center"/>
          </w:tcPr>
          <w:p w14:paraId="6556F31D">
            <w:pPr>
              <w:jc w:val="center"/>
              <w:rPr>
                <w:rFonts w:hint="eastAsia"/>
                <w:color w:val="000000"/>
                <w:sz w:val="20"/>
                <w:szCs w:val="20"/>
              </w:rPr>
            </w:pPr>
            <w:r>
              <w:rPr>
                <w:rFonts w:hint="eastAsia"/>
                <w:color w:val="000000"/>
                <w:sz w:val="20"/>
                <w:szCs w:val="20"/>
              </w:rPr>
              <w:t>6</w:t>
            </w:r>
          </w:p>
        </w:tc>
        <w:tc>
          <w:tcPr>
            <w:tcW w:w="670" w:type="pct"/>
            <w:tcBorders>
              <w:top w:val="nil"/>
              <w:left w:val="nil"/>
              <w:bottom w:val="single" w:color="auto" w:sz="4" w:space="0"/>
              <w:right w:val="single" w:color="auto" w:sz="4" w:space="0"/>
            </w:tcBorders>
            <w:shd w:val="clear" w:color="auto" w:fill="auto"/>
            <w:noWrap/>
            <w:vAlign w:val="center"/>
          </w:tcPr>
          <w:p w14:paraId="3B2B6EB3">
            <w:pPr>
              <w:jc w:val="center"/>
              <w:rPr>
                <w:rFonts w:hint="eastAsia"/>
                <w:color w:val="000000"/>
                <w:sz w:val="20"/>
                <w:szCs w:val="20"/>
              </w:rPr>
            </w:pPr>
            <w:r>
              <w:rPr>
                <w:rFonts w:hint="eastAsia"/>
                <w:color w:val="000000"/>
                <w:sz w:val="20"/>
                <w:szCs w:val="20"/>
              </w:rPr>
              <w:t>台</w:t>
            </w:r>
          </w:p>
        </w:tc>
        <w:tc>
          <w:tcPr>
            <w:tcW w:w="882" w:type="pct"/>
            <w:tcBorders>
              <w:top w:val="nil"/>
              <w:left w:val="nil"/>
              <w:bottom w:val="single" w:color="auto" w:sz="4" w:space="0"/>
              <w:right w:val="single" w:color="auto" w:sz="4" w:space="0"/>
            </w:tcBorders>
            <w:shd w:val="clear" w:color="auto" w:fill="auto"/>
            <w:noWrap/>
            <w:vAlign w:val="center"/>
          </w:tcPr>
          <w:p w14:paraId="0DF11A5A">
            <w:pPr>
              <w:rPr>
                <w:rFonts w:hint="eastAsia"/>
                <w:color w:val="000000"/>
                <w:sz w:val="20"/>
                <w:szCs w:val="20"/>
              </w:rPr>
            </w:pPr>
          </w:p>
        </w:tc>
      </w:tr>
      <w:tr w14:paraId="14333255">
        <w:tblPrEx>
          <w:tblCellMar>
            <w:top w:w="0" w:type="dxa"/>
            <w:left w:w="108" w:type="dxa"/>
            <w:bottom w:w="0" w:type="dxa"/>
            <w:right w:w="108" w:type="dxa"/>
          </w:tblCellMar>
        </w:tblPrEx>
        <w:trPr>
          <w:trHeight w:val="280" w:hRule="atLeast"/>
        </w:trPr>
        <w:tc>
          <w:tcPr>
            <w:tcW w:w="572" w:type="pct"/>
            <w:tcBorders>
              <w:top w:val="nil"/>
              <w:left w:val="single" w:color="auto" w:sz="4" w:space="0"/>
              <w:bottom w:val="single" w:color="auto" w:sz="4" w:space="0"/>
              <w:right w:val="single" w:color="auto" w:sz="4" w:space="0"/>
            </w:tcBorders>
            <w:shd w:val="clear" w:color="auto" w:fill="auto"/>
            <w:noWrap/>
            <w:vAlign w:val="center"/>
          </w:tcPr>
          <w:p w14:paraId="3E9B61E1">
            <w:pPr>
              <w:jc w:val="center"/>
              <w:rPr>
                <w:rFonts w:hint="eastAsia"/>
                <w:color w:val="000000"/>
                <w:sz w:val="20"/>
                <w:szCs w:val="20"/>
              </w:rPr>
            </w:pPr>
            <w:r>
              <w:rPr>
                <w:rFonts w:hint="eastAsia"/>
                <w:color w:val="000000"/>
                <w:sz w:val="20"/>
                <w:szCs w:val="20"/>
              </w:rPr>
              <w:t>7</w:t>
            </w:r>
          </w:p>
        </w:tc>
        <w:tc>
          <w:tcPr>
            <w:tcW w:w="1814" w:type="pct"/>
            <w:tcBorders>
              <w:top w:val="nil"/>
              <w:left w:val="nil"/>
              <w:bottom w:val="single" w:color="auto" w:sz="4" w:space="0"/>
              <w:right w:val="single" w:color="auto" w:sz="4" w:space="0"/>
            </w:tcBorders>
            <w:shd w:val="clear" w:color="auto" w:fill="auto"/>
            <w:noWrap/>
            <w:vAlign w:val="center"/>
          </w:tcPr>
          <w:p w14:paraId="4E89F902">
            <w:pPr>
              <w:rPr>
                <w:rFonts w:hint="eastAsia"/>
                <w:color w:val="000000"/>
                <w:sz w:val="20"/>
                <w:szCs w:val="20"/>
              </w:rPr>
            </w:pPr>
            <w:r>
              <w:rPr>
                <w:rFonts w:hint="eastAsia"/>
                <w:color w:val="000000"/>
                <w:sz w:val="20"/>
                <w:szCs w:val="20"/>
              </w:rPr>
              <w:t>六类网线</w:t>
            </w:r>
          </w:p>
        </w:tc>
        <w:tc>
          <w:tcPr>
            <w:tcW w:w="1062" w:type="pct"/>
            <w:tcBorders>
              <w:top w:val="nil"/>
              <w:left w:val="nil"/>
              <w:bottom w:val="single" w:color="auto" w:sz="4" w:space="0"/>
              <w:right w:val="single" w:color="auto" w:sz="4" w:space="0"/>
            </w:tcBorders>
            <w:shd w:val="clear" w:color="auto" w:fill="auto"/>
            <w:noWrap/>
            <w:vAlign w:val="center"/>
          </w:tcPr>
          <w:p w14:paraId="7C14D20B">
            <w:pPr>
              <w:jc w:val="center"/>
              <w:rPr>
                <w:rFonts w:hint="eastAsia"/>
                <w:color w:val="000000"/>
                <w:sz w:val="20"/>
                <w:szCs w:val="20"/>
              </w:rPr>
            </w:pPr>
            <w:r>
              <w:rPr>
                <w:rFonts w:hint="eastAsia"/>
                <w:color w:val="000000"/>
                <w:sz w:val="20"/>
                <w:szCs w:val="20"/>
              </w:rPr>
              <w:t>1</w:t>
            </w:r>
            <w:r>
              <w:rPr>
                <w:color w:val="000000"/>
                <w:sz w:val="20"/>
                <w:szCs w:val="20"/>
              </w:rPr>
              <w:t>0</w:t>
            </w:r>
          </w:p>
        </w:tc>
        <w:tc>
          <w:tcPr>
            <w:tcW w:w="670" w:type="pct"/>
            <w:tcBorders>
              <w:top w:val="nil"/>
              <w:left w:val="nil"/>
              <w:bottom w:val="single" w:color="auto" w:sz="4" w:space="0"/>
              <w:right w:val="single" w:color="auto" w:sz="4" w:space="0"/>
            </w:tcBorders>
            <w:shd w:val="clear" w:color="auto" w:fill="auto"/>
            <w:noWrap/>
            <w:vAlign w:val="center"/>
          </w:tcPr>
          <w:p w14:paraId="6E7CC406">
            <w:pPr>
              <w:jc w:val="center"/>
              <w:rPr>
                <w:rFonts w:hint="eastAsia"/>
                <w:color w:val="000000"/>
                <w:sz w:val="20"/>
                <w:szCs w:val="20"/>
              </w:rPr>
            </w:pPr>
            <w:r>
              <w:rPr>
                <w:rFonts w:hint="eastAsia"/>
                <w:color w:val="000000"/>
                <w:sz w:val="20"/>
                <w:szCs w:val="20"/>
              </w:rPr>
              <w:t>箱</w:t>
            </w:r>
          </w:p>
        </w:tc>
        <w:tc>
          <w:tcPr>
            <w:tcW w:w="882" w:type="pct"/>
            <w:tcBorders>
              <w:top w:val="nil"/>
              <w:left w:val="nil"/>
              <w:bottom w:val="single" w:color="auto" w:sz="4" w:space="0"/>
              <w:right w:val="single" w:color="auto" w:sz="4" w:space="0"/>
            </w:tcBorders>
            <w:shd w:val="clear" w:color="auto" w:fill="auto"/>
            <w:noWrap/>
            <w:vAlign w:val="center"/>
          </w:tcPr>
          <w:p w14:paraId="09B7C3A4">
            <w:pPr>
              <w:rPr>
                <w:rFonts w:hint="eastAsia"/>
                <w:color w:val="000000"/>
                <w:sz w:val="20"/>
                <w:szCs w:val="20"/>
              </w:rPr>
            </w:pPr>
          </w:p>
        </w:tc>
      </w:tr>
      <w:tr w14:paraId="39E525C4">
        <w:tblPrEx>
          <w:tblCellMar>
            <w:top w:w="0" w:type="dxa"/>
            <w:left w:w="108" w:type="dxa"/>
            <w:bottom w:w="0" w:type="dxa"/>
            <w:right w:w="108" w:type="dxa"/>
          </w:tblCellMar>
        </w:tblPrEx>
        <w:trPr>
          <w:trHeight w:val="280" w:hRule="atLeast"/>
        </w:trPr>
        <w:tc>
          <w:tcPr>
            <w:tcW w:w="572" w:type="pct"/>
            <w:tcBorders>
              <w:top w:val="nil"/>
              <w:left w:val="single" w:color="auto" w:sz="4" w:space="0"/>
              <w:bottom w:val="single" w:color="auto" w:sz="4" w:space="0"/>
              <w:right w:val="single" w:color="auto" w:sz="4" w:space="0"/>
            </w:tcBorders>
            <w:shd w:val="clear" w:color="auto" w:fill="auto"/>
            <w:noWrap/>
            <w:vAlign w:val="center"/>
          </w:tcPr>
          <w:p w14:paraId="712864EB">
            <w:pPr>
              <w:jc w:val="center"/>
              <w:rPr>
                <w:rFonts w:hint="eastAsia"/>
                <w:color w:val="000000"/>
                <w:sz w:val="20"/>
                <w:szCs w:val="20"/>
              </w:rPr>
            </w:pPr>
            <w:r>
              <w:rPr>
                <w:rFonts w:hint="eastAsia"/>
                <w:color w:val="000000"/>
                <w:sz w:val="20"/>
                <w:szCs w:val="20"/>
              </w:rPr>
              <w:t>8</w:t>
            </w:r>
          </w:p>
        </w:tc>
        <w:tc>
          <w:tcPr>
            <w:tcW w:w="1814" w:type="pct"/>
            <w:tcBorders>
              <w:top w:val="nil"/>
              <w:left w:val="nil"/>
              <w:bottom w:val="single" w:color="auto" w:sz="4" w:space="0"/>
              <w:right w:val="single" w:color="auto" w:sz="4" w:space="0"/>
            </w:tcBorders>
            <w:shd w:val="clear" w:color="auto" w:fill="auto"/>
            <w:noWrap/>
            <w:vAlign w:val="center"/>
          </w:tcPr>
          <w:p w14:paraId="684E9AAF">
            <w:pPr>
              <w:rPr>
                <w:rFonts w:hint="eastAsia"/>
                <w:color w:val="000000"/>
                <w:sz w:val="20"/>
                <w:szCs w:val="20"/>
              </w:rPr>
            </w:pPr>
            <w:r>
              <w:rPr>
                <w:rFonts w:hint="eastAsia"/>
                <w:color w:val="000000"/>
                <w:sz w:val="20"/>
                <w:szCs w:val="20"/>
              </w:rPr>
              <w:t>安装调试</w:t>
            </w:r>
          </w:p>
        </w:tc>
        <w:tc>
          <w:tcPr>
            <w:tcW w:w="1062" w:type="pct"/>
            <w:tcBorders>
              <w:top w:val="nil"/>
              <w:left w:val="nil"/>
              <w:bottom w:val="single" w:color="auto" w:sz="4" w:space="0"/>
              <w:right w:val="single" w:color="auto" w:sz="4" w:space="0"/>
            </w:tcBorders>
            <w:shd w:val="clear" w:color="auto" w:fill="auto"/>
            <w:noWrap/>
            <w:vAlign w:val="center"/>
          </w:tcPr>
          <w:p w14:paraId="72681A69">
            <w:pPr>
              <w:jc w:val="center"/>
              <w:rPr>
                <w:rFonts w:hint="eastAsia"/>
                <w:color w:val="000000"/>
                <w:sz w:val="20"/>
                <w:szCs w:val="20"/>
              </w:rPr>
            </w:pPr>
            <w:r>
              <w:rPr>
                <w:rFonts w:hint="eastAsia"/>
                <w:color w:val="000000"/>
                <w:sz w:val="20"/>
                <w:szCs w:val="20"/>
              </w:rPr>
              <w:t>1</w:t>
            </w:r>
          </w:p>
        </w:tc>
        <w:tc>
          <w:tcPr>
            <w:tcW w:w="670" w:type="pct"/>
            <w:tcBorders>
              <w:top w:val="nil"/>
              <w:left w:val="nil"/>
              <w:bottom w:val="single" w:color="auto" w:sz="4" w:space="0"/>
              <w:right w:val="single" w:color="auto" w:sz="4" w:space="0"/>
            </w:tcBorders>
            <w:shd w:val="clear" w:color="auto" w:fill="auto"/>
            <w:noWrap/>
            <w:vAlign w:val="center"/>
          </w:tcPr>
          <w:p w14:paraId="7B253801">
            <w:pPr>
              <w:jc w:val="center"/>
              <w:rPr>
                <w:rFonts w:hint="eastAsia"/>
                <w:color w:val="000000"/>
                <w:sz w:val="20"/>
                <w:szCs w:val="20"/>
              </w:rPr>
            </w:pPr>
            <w:r>
              <w:rPr>
                <w:rFonts w:hint="eastAsia"/>
                <w:color w:val="000000"/>
                <w:sz w:val="20"/>
                <w:szCs w:val="20"/>
              </w:rPr>
              <w:t>项</w:t>
            </w:r>
          </w:p>
        </w:tc>
        <w:tc>
          <w:tcPr>
            <w:tcW w:w="882" w:type="pct"/>
            <w:tcBorders>
              <w:top w:val="nil"/>
              <w:left w:val="nil"/>
              <w:bottom w:val="single" w:color="auto" w:sz="4" w:space="0"/>
              <w:right w:val="single" w:color="auto" w:sz="4" w:space="0"/>
            </w:tcBorders>
            <w:shd w:val="clear" w:color="auto" w:fill="auto"/>
            <w:noWrap/>
            <w:vAlign w:val="center"/>
          </w:tcPr>
          <w:p w14:paraId="67A66042">
            <w:pPr>
              <w:rPr>
                <w:rFonts w:hint="eastAsia"/>
                <w:color w:val="000000"/>
                <w:sz w:val="20"/>
                <w:szCs w:val="20"/>
              </w:rPr>
            </w:pPr>
            <w:r>
              <w:rPr>
                <w:rFonts w:hint="eastAsia"/>
                <w:color w:val="000000"/>
                <w:sz w:val="20"/>
                <w:szCs w:val="20"/>
              </w:rPr>
              <w:t>　</w:t>
            </w:r>
          </w:p>
        </w:tc>
      </w:tr>
    </w:tbl>
    <w:p w14:paraId="4EE09ECB">
      <w:pPr>
        <w:adjustRightInd w:val="0"/>
        <w:snapToGrid w:val="0"/>
        <w:spacing w:line="360" w:lineRule="auto"/>
        <w:rPr>
          <w:rFonts w:hint="eastAsia" w:cs="宋体" w:asciiTheme="majorEastAsia" w:hAnsiTheme="majorEastAsia" w:eastAsiaTheme="majorEastAsia"/>
          <w:color w:val="000000"/>
          <w:kern w:val="0"/>
          <w:sz w:val="21"/>
          <w:szCs w:val="21"/>
          <w:lang w:val="en-US" w:eastAsia="zh-CN" w:bidi="ar-SA"/>
        </w:rPr>
      </w:pPr>
    </w:p>
    <w:p w14:paraId="6B0252AC">
      <w:pPr>
        <w:adjustRightInd w:val="0"/>
        <w:snapToGrid w:val="0"/>
        <w:spacing w:line="360" w:lineRule="auto"/>
        <w:rPr>
          <w:rFonts w:hint="eastAsia" w:cs="宋体" w:asciiTheme="majorEastAsia" w:hAnsiTheme="majorEastAsia" w:eastAsiaTheme="majorEastAsia"/>
          <w:color w:val="000000"/>
          <w:kern w:val="0"/>
          <w:sz w:val="21"/>
          <w:szCs w:val="21"/>
          <w:lang w:val="en-US" w:eastAsia="zh-CN" w:bidi="ar-SA"/>
        </w:rPr>
      </w:pPr>
      <w:r>
        <w:rPr>
          <w:rFonts w:hint="eastAsia" w:cs="宋体" w:asciiTheme="majorEastAsia" w:hAnsiTheme="majorEastAsia" w:eastAsiaTheme="majorEastAsia"/>
          <w:color w:val="000000"/>
          <w:kern w:val="0"/>
          <w:sz w:val="21"/>
          <w:szCs w:val="21"/>
          <w:lang w:val="en-US" w:eastAsia="zh-CN" w:bidi="ar-SA"/>
        </w:rPr>
        <w:t>3.2 各楼层AP明细（AP数量可根据甲方实际进行调整，但不得少于表格数量，需提供一定数量备品）</w:t>
      </w:r>
    </w:p>
    <w:tbl>
      <w:tblPr>
        <w:tblStyle w:val="26"/>
        <w:tblW w:w="376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2"/>
        <w:gridCol w:w="4382"/>
      </w:tblGrid>
      <w:tr w14:paraId="1BB24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54" w:type="pct"/>
            <w:tcBorders>
              <w:tl2br w:val="nil"/>
              <w:tr2bl w:val="nil"/>
            </w:tcBorders>
            <w:shd w:val="clear" w:color="auto" w:fill="auto"/>
            <w:noWrap/>
            <w:vAlign w:val="center"/>
          </w:tcPr>
          <w:p w14:paraId="1B604174">
            <w:pPr>
              <w:jc w:val="center"/>
              <w:rPr>
                <w:rFonts w:hint="default" w:eastAsia="宋体"/>
                <w:color w:val="000000"/>
                <w:sz w:val="20"/>
                <w:szCs w:val="20"/>
                <w:lang w:val="en-US" w:eastAsia="zh-CN"/>
              </w:rPr>
            </w:pPr>
            <w:r>
              <w:rPr>
                <w:rFonts w:hint="eastAsia"/>
                <w:color w:val="000000"/>
                <w:sz w:val="20"/>
                <w:szCs w:val="20"/>
                <w:lang w:val="en-US" w:eastAsia="zh-CN"/>
              </w:rPr>
              <w:t>楼层</w:t>
            </w:r>
          </w:p>
        </w:tc>
        <w:tc>
          <w:tcPr>
            <w:tcW w:w="3145" w:type="pct"/>
            <w:tcBorders>
              <w:tl2br w:val="nil"/>
              <w:tr2bl w:val="nil"/>
            </w:tcBorders>
            <w:shd w:val="clear" w:color="auto" w:fill="auto"/>
            <w:noWrap/>
            <w:vAlign w:val="center"/>
          </w:tcPr>
          <w:p w14:paraId="0EB13A3D">
            <w:pPr>
              <w:jc w:val="center"/>
              <w:rPr>
                <w:rFonts w:hint="eastAsia"/>
                <w:color w:val="000000"/>
                <w:sz w:val="20"/>
                <w:szCs w:val="20"/>
              </w:rPr>
            </w:pPr>
            <w:r>
              <w:rPr>
                <w:rFonts w:hint="eastAsia"/>
                <w:color w:val="000000"/>
                <w:sz w:val="20"/>
                <w:szCs w:val="20"/>
                <w:lang w:val="en-US" w:eastAsia="zh-CN"/>
              </w:rPr>
              <w:t>AP</w:t>
            </w:r>
            <w:r>
              <w:rPr>
                <w:rFonts w:hint="eastAsia"/>
                <w:color w:val="000000"/>
                <w:sz w:val="20"/>
                <w:szCs w:val="20"/>
              </w:rPr>
              <w:t>数量</w:t>
            </w:r>
          </w:p>
        </w:tc>
      </w:tr>
      <w:tr w14:paraId="6AF1D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54" w:type="pct"/>
            <w:tcBorders>
              <w:tl2br w:val="nil"/>
              <w:tr2bl w:val="nil"/>
            </w:tcBorders>
            <w:shd w:val="clear" w:color="auto" w:fill="auto"/>
            <w:noWrap/>
            <w:vAlign w:val="center"/>
          </w:tcPr>
          <w:p w14:paraId="7032EDFC">
            <w:pPr>
              <w:rPr>
                <w:rFonts w:hint="default" w:eastAsia="宋体"/>
                <w:color w:val="000000"/>
                <w:sz w:val="20"/>
                <w:szCs w:val="20"/>
                <w:lang w:val="en-US" w:eastAsia="zh-CN"/>
              </w:rPr>
            </w:pPr>
            <w:r>
              <w:rPr>
                <w:rFonts w:hint="eastAsia"/>
                <w:lang w:eastAsia="zh-CN"/>
              </w:rPr>
              <w:t xml:space="preserve">1F  </w:t>
            </w:r>
          </w:p>
        </w:tc>
        <w:tc>
          <w:tcPr>
            <w:tcW w:w="3145" w:type="pct"/>
            <w:tcBorders>
              <w:tl2br w:val="nil"/>
              <w:tr2bl w:val="nil"/>
            </w:tcBorders>
            <w:shd w:val="clear" w:color="auto" w:fill="auto"/>
            <w:noWrap/>
            <w:vAlign w:val="center"/>
          </w:tcPr>
          <w:p w14:paraId="56E4B93E">
            <w:pPr>
              <w:jc w:val="center"/>
              <w:rPr>
                <w:rFonts w:hint="eastAsia"/>
                <w:color w:val="000000"/>
                <w:sz w:val="20"/>
                <w:szCs w:val="20"/>
              </w:rPr>
            </w:pPr>
            <w:r>
              <w:rPr>
                <w:rFonts w:hint="eastAsia"/>
                <w:lang w:eastAsia="zh-CN"/>
              </w:rPr>
              <w:t>3个高密吸顶AP，</w:t>
            </w:r>
            <w:r>
              <w:rPr>
                <w:rFonts w:hint="eastAsia"/>
                <w:lang w:val="en-US" w:eastAsia="zh-CN"/>
              </w:rPr>
              <w:t>4</w:t>
            </w:r>
            <w:r>
              <w:rPr>
                <w:rFonts w:hint="eastAsia"/>
                <w:lang w:eastAsia="zh-CN"/>
              </w:rPr>
              <w:t>个吸顶AP，1个面板AP</w:t>
            </w:r>
          </w:p>
        </w:tc>
      </w:tr>
      <w:tr w14:paraId="1E2B3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54" w:type="pct"/>
            <w:tcBorders>
              <w:tl2br w:val="nil"/>
              <w:tr2bl w:val="nil"/>
            </w:tcBorders>
            <w:shd w:val="clear" w:color="auto" w:fill="auto"/>
            <w:noWrap/>
            <w:vAlign w:val="center"/>
          </w:tcPr>
          <w:p w14:paraId="76991D2F">
            <w:pPr>
              <w:rPr>
                <w:rFonts w:hint="eastAsia"/>
                <w:color w:val="000000"/>
                <w:sz w:val="20"/>
                <w:szCs w:val="20"/>
              </w:rPr>
            </w:pPr>
            <w:r>
              <w:rPr>
                <w:rFonts w:hint="eastAsia"/>
                <w:lang w:eastAsia="zh-CN"/>
              </w:rPr>
              <w:t xml:space="preserve">3F </w:t>
            </w:r>
          </w:p>
        </w:tc>
        <w:tc>
          <w:tcPr>
            <w:tcW w:w="3145" w:type="pct"/>
            <w:tcBorders>
              <w:tl2br w:val="nil"/>
              <w:tr2bl w:val="nil"/>
            </w:tcBorders>
            <w:shd w:val="clear" w:color="auto" w:fill="auto"/>
            <w:noWrap/>
            <w:vAlign w:val="center"/>
          </w:tcPr>
          <w:p w14:paraId="04197EA9">
            <w:pPr>
              <w:jc w:val="center"/>
              <w:rPr>
                <w:rFonts w:hint="eastAsia"/>
                <w:color w:val="000000"/>
                <w:sz w:val="20"/>
                <w:szCs w:val="20"/>
              </w:rPr>
            </w:pPr>
            <w:r>
              <w:rPr>
                <w:rFonts w:hint="eastAsia"/>
                <w:lang w:eastAsia="zh-CN"/>
              </w:rPr>
              <w:t>12个吸顶AP</w:t>
            </w:r>
          </w:p>
        </w:tc>
      </w:tr>
      <w:tr w14:paraId="30A81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54" w:type="pct"/>
            <w:tcBorders>
              <w:tl2br w:val="nil"/>
              <w:tr2bl w:val="nil"/>
            </w:tcBorders>
            <w:shd w:val="clear" w:color="auto" w:fill="auto"/>
            <w:noWrap/>
            <w:vAlign w:val="center"/>
          </w:tcPr>
          <w:p w14:paraId="66E55FD3">
            <w:pPr>
              <w:rPr>
                <w:rFonts w:hint="eastAsia"/>
                <w:color w:val="000000"/>
                <w:sz w:val="20"/>
                <w:szCs w:val="20"/>
              </w:rPr>
            </w:pPr>
            <w:r>
              <w:rPr>
                <w:rFonts w:hint="eastAsia"/>
                <w:lang w:eastAsia="zh-CN"/>
              </w:rPr>
              <w:t xml:space="preserve">4F   </w:t>
            </w:r>
          </w:p>
        </w:tc>
        <w:tc>
          <w:tcPr>
            <w:tcW w:w="3145" w:type="pct"/>
            <w:tcBorders>
              <w:tl2br w:val="nil"/>
              <w:tr2bl w:val="nil"/>
            </w:tcBorders>
            <w:shd w:val="clear" w:color="auto" w:fill="auto"/>
            <w:noWrap/>
            <w:vAlign w:val="center"/>
          </w:tcPr>
          <w:p w14:paraId="723F56FC">
            <w:pPr>
              <w:jc w:val="center"/>
              <w:rPr>
                <w:rFonts w:hint="eastAsia"/>
                <w:color w:val="000000"/>
                <w:sz w:val="20"/>
                <w:szCs w:val="20"/>
              </w:rPr>
            </w:pPr>
            <w:r>
              <w:rPr>
                <w:rFonts w:hint="eastAsia"/>
                <w:lang w:eastAsia="zh-CN"/>
              </w:rPr>
              <w:t>8个吸顶AP，1个面板AP</w:t>
            </w:r>
          </w:p>
        </w:tc>
      </w:tr>
      <w:tr w14:paraId="5E9C1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54" w:type="pct"/>
            <w:tcBorders>
              <w:tl2br w:val="nil"/>
              <w:tr2bl w:val="nil"/>
            </w:tcBorders>
            <w:shd w:val="clear" w:color="auto" w:fill="auto"/>
            <w:noWrap/>
            <w:vAlign w:val="center"/>
          </w:tcPr>
          <w:p w14:paraId="289AB1F0">
            <w:pPr>
              <w:rPr>
                <w:rFonts w:hint="eastAsia"/>
                <w:color w:val="000000"/>
                <w:sz w:val="20"/>
                <w:szCs w:val="20"/>
              </w:rPr>
            </w:pPr>
            <w:r>
              <w:rPr>
                <w:rFonts w:hint="eastAsia"/>
                <w:lang w:eastAsia="zh-CN"/>
              </w:rPr>
              <w:t xml:space="preserve">5F  </w:t>
            </w:r>
          </w:p>
        </w:tc>
        <w:tc>
          <w:tcPr>
            <w:tcW w:w="3145" w:type="pct"/>
            <w:tcBorders>
              <w:tl2br w:val="nil"/>
              <w:tr2bl w:val="nil"/>
            </w:tcBorders>
            <w:shd w:val="clear" w:color="auto" w:fill="auto"/>
            <w:noWrap/>
            <w:vAlign w:val="center"/>
          </w:tcPr>
          <w:p w14:paraId="57B20974">
            <w:pPr>
              <w:jc w:val="center"/>
              <w:rPr>
                <w:rFonts w:hint="eastAsia"/>
                <w:color w:val="000000"/>
                <w:sz w:val="20"/>
                <w:szCs w:val="20"/>
              </w:rPr>
            </w:pPr>
            <w:r>
              <w:rPr>
                <w:rFonts w:hint="eastAsia"/>
                <w:lang w:eastAsia="zh-CN"/>
              </w:rPr>
              <w:t xml:space="preserve"> 8个吸顶AP，1个面板AP</w:t>
            </w:r>
          </w:p>
        </w:tc>
      </w:tr>
      <w:tr w14:paraId="0013D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54" w:type="pct"/>
            <w:tcBorders>
              <w:tl2br w:val="nil"/>
              <w:tr2bl w:val="nil"/>
            </w:tcBorders>
            <w:shd w:val="clear" w:color="auto" w:fill="auto"/>
            <w:noWrap/>
            <w:vAlign w:val="center"/>
          </w:tcPr>
          <w:p w14:paraId="3556CC39">
            <w:pPr>
              <w:rPr>
                <w:color w:val="000000"/>
                <w:sz w:val="20"/>
                <w:szCs w:val="20"/>
              </w:rPr>
            </w:pPr>
            <w:r>
              <w:rPr>
                <w:rFonts w:hint="eastAsia"/>
                <w:lang w:eastAsia="zh-CN"/>
              </w:rPr>
              <w:t xml:space="preserve">6F </w:t>
            </w:r>
          </w:p>
        </w:tc>
        <w:tc>
          <w:tcPr>
            <w:tcW w:w="3145" w:type="pct"/>
            <w:tcBorders>
              <w:tl2br w:val="nil"/>
              <w:tr2bl w:val="nil"/>
            </w:tcBorders>
            <w:shd w:val="clear" w:color="auto" w:fill="auto"/>
            <w:noWrap/>
            <w:vAlign w:val="center"/>
          </w:tcPr>
          <w:p w14:paraId="522BB6EF">
            <w:pPr>
              <w:jc w:val="center"/>
              <w:rPr>
                <w:rFonts w:hint="eastAsia"/>
                <w:color w:val="000000"/>
                <w:sz w:val="20"/>
                <w:szCs w:val="20"/>
              </w:rPr>
            </w:pPr>
            <w:r>
              <w:rPr>
                <w:rFonts w:hint="eastAsia"/>
                <w:lang w:eastAsia="zh-CN"/>
              </w:rPr>
              <w:t>8个吸顶AP，2个面板AP</w:t>
            </w:r>
          </w:p>
        </w:tc>
      </w:tr>
      <w:tr w14:paraId="3AAE4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54" w:type="pct"/>
            <w:tcBorders>
              <w:tl2br w:val="nil"/>
              <w:tr2bl w:val="nil"/>
            </w:tcBorders>
            <w:shd w:val="clear" w:color="auto" w:fill="auto"/>
            <w:noWrap/>
            <w:vAlign w:val="center"/>
          </w:tcPr>
          <w:p w14:paraId="59280CFD">
            <w:pPr>
              <w:rPr>
                <w:rFonts w:hint="eastAsia"/>
                <w:color w:val="000000"/>
                <w:sz w:val="20"/>
                <w:szCs w:val="20"/>
              </w:rPr>
            </w:pPr>
            <w:r>
              <w:rPr>
                <w:rFonts w:hint="eastAsia"/>
                <w:lang w:eastAsia="zh-CN"/>
              </w:rPr>
              <w:t xml:space="preserve">7F  </w:t>
            </w:r>
          </w:p>
        </w:tc>
        <w:tc>
          <w:tcPr>
            <w:tcW w:w="3145" w:type="pct"/>
            <w:tcBorders>
              <w:tl2br w:val="nil"/>
              <w:tr2bl w:val="nil"/>
            </w:tcBorders>
            <w:shd w:val="clear" w:color="auto" w:fill="auto"/>
            <w:noWrap/>
            <w:vAlign w:val="center"/>
          </w:tcPr>
          <w:p w14:paraId="06CC430E">
            <w:pPr>
              <w:jc w:val="center"/>
              <w:rPr>
                <w:rFonts w:hint="eastAsia"/>
                <w:color w:val="000000"/>
                <w:sz w:val="20"/>
                <w:szCs w:val="20"/>
              </w:rPr>
            </w:pPr>
            <w:r>
              <w:rPr>
                <w:rFonts w:hint="eastAsia"/>
                <w:lang w:eastAsia="zh-CN"/>
              </w:rPr>
              <w:t xml:space="preserve"> 9个吸顶AP，1个面板AP</w:t>
            </w:r>
          </w:p>
        </w:tc>
      </w:tr>
      <w:tr w14:paraId="00297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54" w:type="pct"/>
            <w:tcBorders>
              <w:tl2br w:val="nil"/>
              <w:tr2bl w:val="nil"/>
            </w:tcBorders>
            <w:shd w:val="clear" w:color="auto" w:fill="auto"/>
            <w:noWrap/>
            <w:vAlign w:val="center"/>
          </w:tcPr>
          <w:p w14:paraId="7A879E50">
            <w:pPr>
              <w:rPr>
                <w:rFonts w:hint="eastAsia"/>
                <w:color w:val="000000"/>
                <w:sz w:val="20"/>
                <w:szCs w:val="20"/>
              </w:rPr>
            </w:pPr>
            <w:r>
              <w:rPr>
                <w:rFonts w:hint="eastAsia"/>
                <w:lang w:eastAsia="zh-CN"/>
              </w:rPr>
              <w:t xml:space="preserve">8F  </w:t>
            </w:r>
          </w:p>
        </w:tc>
        <w:tc>
          <w:tcPr>
            <w:tcW w:w="3145" w:type="pct"/>
            <w:tcBorders>
              <w:tl2br w:val="nil"/>
              <w:tr2bl w:val="nil"/>
            </w:tcBorders>
            <w:shd w:val="clear" w:color="auto" w:fill="auto"/>
            <w:noWrap/>
            <w:vAlign w:val="center"/>
          </w:tcPr>
          <w:p w14:paraId="31336AD4">
            <w:pPr>
              <w:jc w:val="center"/>
              <w:rPr>
                <w:rFonts w:hint="eastAsia"/>
                <w:color w:val="000000"/>
                <w:sz w:val="20"/>
                <w:szCs w:val="20"/>
              </w:rPr>
            </w:pPr>
            <w:r>
              <w:rPr>
                <w:rFonts w:hint="eastAsia"/>
                <w:lang w:eastAsia="zh-CN"/>
              </w:rPr>
              <w:t>9个吸顶AP</w:t>
            </w:r>
          </w:p>
        </w:tc>
      </w:tr>
      <w:tr w14:paraId="55232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54" w:type="pct"/>
            <w:tcBorders>
              <w:tl2br w:val="nil"/>
              <w:tr2bl w:val="nil"/>
            </w:tcBorders>
            <w:shd w:val="clear" w:color="auto" w:fill="auto"/>
            <w:noWrap/>
            <w:vAlign w:val="center"/>
          </w:tcPr>
          <w:p w14:paraId="28743BD7">
            <w:pPr>
              <w:rPr>
                <w:rFonts w:hint="eastAsia"/>
                <w:color w:val="000000"/>
                <w:sz w:val="20"/>
                <w:szCs w:val="20"/>
              </w:rPr>
            </w:pPr>
            <w:r>
              <w:rPr>
                <w:rFonts w:hint="eastAsia"/>
                <w:lang w:val="en-US" w:eastAsia="zh-CN"/>
              </w:rPr>
              <w:t>9</w:t>
            </w:r>
            <w:r>
              <w:rPr>
                <w:rFonts w:hint="eastAsia"/>
                <w:lang w:eastAsia="zh-CN"/>
              </w:rPr>
              <w:t xml:space="preserve">F  </w:t>
            </w:r>
          </w:p>
        </w:tc>
        <w:tc>
          <w:tcPr>
            <w:tcW w:w="3145" w:type="pct"/>
            <w:tcBorders>
              <w:tl2br w:val="nil"/>
              <w:tr2bl w:val="nil"/>
            </w:tcBorders>
            <w:shd w:val="clear" w:color="auto" w:fill="auto"/>
            <w:noWrap/>
            <w:vAlign w:val="center"/>
          </w:tcPr>
          <w:p w14:paraId="66A1B2C8">
            <w:pPr>
              <w:jc w:val="center"/>
              <w:rPr>
                <w:rFonts w:hint="eastAsia"/>
                <w:color w:val="000000"/>
                <w:sz w:val="20"/>
                <w:szCs w:val="20"/>
              </w:rPr>
            </w:pPr>
            <w:r>
              <w:rPr>
                <w:rFonts w:hint="eastAsia"/>
                <w:lang w:val="en-US" w:eastAsia="zh-CN"/>
              </w:rPr>
              <w:t>1</w:t>
            </w:r>
            <w:r>
              <w:rPr>
                <w:rFonts w:hint="eastAsia"/>
                <w:lang w:eastAsia="zh-CN"/>
              </w:rPr>
              <w:t>个吸顶AP</w:t>
            </w:r>
          </w:p>
        </w:tc>
      </w:tr>
    </w:tbl>
    <w:p w14:paraId="59D95B20">
      <w:pPr>
        <w:adjustRightInd w:val="0"/>
        <w:snapToGrid w:val="0"/>
        <w:spacing w:line="360" w:lineRule="auto"/>
        <w:rPr>
          <w:rFonts w:hint="default"/>
          <w:b/>
          <w:bCs/>
          <w:snapToGrid w:val="0"/>
          <w:sz w:val="28"/>
          <w:szCs w:val="28"/>
          <w:lang w:val="en-US" w:eastAsia="zh-CN"/>
        </w:rPr>
      </w:pPr>
    </w:p>
    <w:p w14:paraId="46786AE3">
      <w:pPr>
        <w:adjustRightInd w:val="0"/>
        <w:snapToGrid w:val="0"/>
        <w:spacing w:line="360" w:lineRule="auto"/>
        <w:rPr>
          <w:rFonts w:hint="default" w:cs="宋体" w:asciiTheme="majorEastAsia" w:hAnsiTheme="majorEastAsia" w:eastAsiaTheme="majorEastAsia"/>
          <w:color w:val="000000"/>
          <w:kern w:val="0"/>
          <w:sz w:val="21"/>
          <w:szCs w:val="21"/>
          <w:lang w:val="en-US" w:eastAsia="zh-CN" w:bidi="ar-SA"/>
        </w:rPr>
      </w:pPr>
      <w:r>
        <w:rPr>
          <w:rFonts w:hint="eastAsia" w:cs="宋体" w:asciiTheme="majorEastAsia" w:hAnsiTheme="majorEastAsia" w:eastAsiaTheme="majorEastAsia"/>
          <w:color w:val="000000"/>
          <w:kern w:val="0"/>
          <w:sz w:val="21"/>
          <w:szCs w:val="21"/>
          <w:lang w:val="en-US" w:eastAsia="zh-CN" w:bidi="ar-SA"/>
        </w:rPr>
        <w:t>3.2详细技术规格要求</w:t>
      </w:r>
    </w:p>
    <w:tbl>
      <w:tblPr>
        <w:tblStyle w:val="26"/>
        <w:tblW w:w="8490"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1580"/>
        <w:gridCol w:w="4830"/>
        <w:gridCol w:w="1300"/>
      </w:tblGrid>
      <w:tr w14:paraId="34326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0" w:type="dxa"/>
            <w:shd w:val="clear" w:color="auto" w:fill="auto"/>
            <w:noWrap/>
            <w:vAlign w:val="center"/>
          </w:tcPr>
          <w:p w14:paraId="70B5C264">
            <w:pPr>
              <w:jc w:val="center"/>
              <w:rPr>
                <w:color w:val="000000"/>
                <w:sz w:val="20"/>
                <w:szCs w:val="20"/>
              </w:rPr>
            </w:pPr>
            <w:r>
              <w:rPr>
                <w:rFonts w:hint="eastAsia"/>
                <w:color w:val="000000"/>
                <w:sz w:val="20"/>
                <w:szCs w:val="20"/>
              </w:rPr>
              <w:t>序号</w:t>
            </w:r>
          </w:p>
        </w:tc>
        <w:tc>
          <w:tcPr>
            <w:tcW w:w="1580" w:type="dxa"/>
            <w:shd w:val="clear" w:color="auto" w:fill="auto"/>
            <w:noWrap/>
            <w:vAlign w:val="center"/>
          </w:tcPr>
          <w:p w14:paraId="6E9D29D3">
            <w:pPr>
              <w:jc w:val="center"/>
              <w:rPr>
                <w:rFonts w:hint="eastAsia"/>
                <w:color w:val="000000"/>
                <w:sz w:val="20"/>
                <w:szCs w:val="20"/>
              </w:rPr>
            </w:pPr>
            <w:r>
              <w:rPr>
                <w:rFonts w:hint="eastAsia"/>
                <w:color w:val="000000"/>
                <w:sz w:val="20"/>
                <w:szCs w:val="20"/>
              </w:rPr>
              <w:t>设备名称</w:t>
            </w:r>
          </w:p>
        </w:tc>
        <w:tc>
          <w:tcPr>
            <w:tcW w:w="4830" w:type="dxa"/>
            <w:shd w:val="clear" w:color="auto" w:fill="auto"/>
            <w:noWrap w:val="0"/>
            <w:vAlign w:val="center"/>
          </w:tcPr>
          <w:p w14:paraId="541219DA">
            <w:pPr>
              <w:jc w:val="center"/>
              <w:rPr>
                <w:rFonts w:hint="eastAsia"/>
                <w:color w:val="000000"/>
                <w:sz w:val="20"/>
                <w:szCs w:val="20"/>
              </w:rPr>
            </w:pPr>
            <w:r>
              <w:rPr>
                <w:rFonts w:hint="eastAsia"/>
                <w:color w:val="000000"/>
                <w:sz w:val="20"/>
                <w:szCs w:val="20"/>
              </w:rPr>
              <w:t>技术规格要求</w:t>
            </w:r>
          </w:p>
        </w:tc>
        <w:tc>
          <w:tcPr>
            <w:tcW w:w="1300" w:type="dxa"/>
            <w:shd w:val="clear" w:color="auto" w:fill="auto"/>
            <w:noWrap/>
            <w:vAlign w:val="center"/>
          </w:tcPr>
          <w:p w14:paraId="71DF2F23">
            <w:pPr>
              <w:jc w:val="center"/>
              <w:rPr>
                <w:rFonts w:hint="eastAsia"/>
                <w:color w:val="000000"/>
                <w:sz w:val="20"/>
                <w:szCs w:val="20"/>
              </w:rPr>
            </w:pPr>
            <w:r>
              <w:rPr>
                <w:rFonts w:hint="eastAsia"/>
                <w:color w:val="000000"/>
                <w:sz w:val="20"/>
                <w:szCs w:val="20"/>
              </w:rPr>
              <w:t>备注</w:t>
            </w:r>
          </w:p>
        </w:tc>
      </w:tr>
      <w:tr w14:paraId="28349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0" w:type="dxa"/>
            <w:vMerge w:val="restart"/>
            <w:shd w:val="clear" w:color="auto" w:fill="auto"/>
            <w:noWrap/>
            <w:vAlign w:val="center"/>
          </w:tcPr>
          <w:p w14:paraId="6348FAF4">
            <w:pPr>
              <w:jc w:val="center"/>
              <w:rPr>
                <w:rFonts w:hint="eastAsia"/>
                <w:color w:val="000000"/>
                <w:sz w:val="20"/>
                <w:szCs w:val="20"/>
              </w:rPr>
            </w:pPr>
            <w:r>
              <w:rPr>
                <w:rFonts w:hint="eastAsia"/>
                <w:color w:val="000000"/>
                <w:sz w:val="20"/>
                <w:szCs w:val="20"/>
              </w:rPr>
              <w:t>1</w:t>
            </w:r>
          </w:p>
        </w:tc>
        <w:tc>
          <w:tcPr>
            <w:tcW w:w="1580" w:type="dxa"/>
            <w:vMerge w:val="restart"/>
            <w:shd w:val="clear" w:color="auto" w:fill="auto"/>
            <w:noWrap/>
            <w:vAlign w:val="center"/>
          </w:tcPr>
          <w:p w14:paraId="25633286">
            <w:pPr>
              <w:jc w:val="center"/>
              <w:rPr>
                <w:rFonts w:hint="eastAsia"/>
                <w:color w:val="000000"/>
                <w:sz w:val="20"/>
                <w:szCs w:val="20"/>
              </w:rPr>
            </w:pPr>
            <w:r>
              <w:rPr>
                <w:rFonts w:hint="eastAsia"/>
                <w:color w:val="000000"/>
                <w:sz w:val="20"/>
                <w:szCs w:val="20"/>
              </w:rPr>
              <w:t>无线控制器</w:t>
            </w:r>
          </w:p>
        </w:tc>
        <w:tc>
          <w:tcPr>
            <w:tcW w:w="4830" w:type="dxa"/>
            <w:shd w:val="clear" w:color="auto" w:fill="auto"/>
            <w:noWrap w:val="0"/>
            <w:vAlign w:val="center"/>
          </w:tcPr>
          <w:p w14:paraId="56EFAAF3">
            <w:pPr>
              <w:rPr>
                <w:rFonts w:hint="eastAsia"/>
                <w:sz w:val="20"/>
                <w:szCs w:val="20"/>
              </w:rPr>
            </w:pPr>
            <w:r>
              <w:rPr>
                <w:rFonts w:hint="eastAsia"/>
                <w:sz w:val="20"/>
                <w:szCs w:val="20"/>
              </w:rPr>
              <w:t>1.标准1U机架式结构；</w:t>
            </w:r>
          </w:p>
        </w:tc>
        <w:tc>
          <w:tcPr>
            <w:tcW w:w="1300" w:type="dxa"/>
            <w:shd w:val="clear" w:color="auto" w:fill="auto"/>
            <w:noWrap/>
            <w:vAlign w:val="center"/>
          </w:tcPr>
          <w:p w14:paraId="630CAEE8">
            <w:pPr>
              <w:rPr>
                <w:rFonts w:hint="eastAsia"/>
                <w:color w:val="000000"/>
                <w:sz w:val="20"/>
                <w:szCs w:val="20"/>
              </w:rPr>
            </w:pPr>
            <w:r>
              <w:rPr>
                <w:rFonts w:hint="eastAsia"/>
                <w:color w:val="000000"/>
                <w:sz w:val="20"/>
                <w:szCs w:val="20"/>
              </w:rPr>
              <w:t>　</w:t>
            </w:r>
          </w:p>
        </w:tc>
      </w:tr>
      <w:tr w14:paraId="578CB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80" w:type="dxa"/>
            <w:vMerge w:val="continue"/>
            <w:shd w:val="clear" w:color="auto" w:fill="auto"/>
            <w:noWrap w:val="0"/>
            <w:vAlign w:val="center"/>
          </w:tcPr>
          <w:p w14:paraId="756B2D91">
            <w:pPr>
              <w:rPr>
                <w:color w:val="000000"/>
                <w:sz w:val="20"/>
                <w:szCs w:val="20"/>
              </w:rPr>
            </w:pPr>
          </w:p>
        </w:tc>
        <w:tc>
          <w:tcPr>
            <w:tcW w:w="1580" w:type="dxa"/>
            <w:vMerge w:val="continue"/>
            <w:shd w:val="clear" w:color="auto" w:fill="auto"/>
            <w:noWrap w:val="0"/>
            <w:vAlign w:val="center"/>
          </w:tcPr>
          <w:p w14:paraId="66CCACF7">
            <w:pPr>
              <w:rPr>
                <w:color w:val="000000"/>
                <w:sz w:val="20"/>
                <w:szCs w:val="20"/>
              </w:rPr>
            </w:pPr>
          </w:p>
        </w:tc>
        <w:tc>
          <w:tcPr>
            <w:tcW w:w="4830" w:type="dxa"/>
            <w:shd w:val="clear" w:color="auto" w:fill="auto"/>
            <w:noWrap w:val="0"/>
            <w:vAlign w:val="center"/>
          </w:tcPr>
          <w:p w14:paraId="6BF73C24">
            <w:pPr>
              <w:rPr>
                <w:rFonts w:hint="eastAsia"/>
                <w:sz w:val="20"/>
                <w:szCs w:val="20"/>
              </w:rPr>
            </w:pPr>
            <w:r>
              <w:rPr>
                <w:rFonts w:hint="eastAsia"/>
                <w:sz w:val="20"/>
                <w:szCs w:val="20"/>
              </w:rPr>
              <w:t>2.简化运维，便于快速传输配置文件，至少固化1个USB接口；</w:t>
            </w:r>
          </w:p>
        </w:tc>
        <w:tc>
          <w:tcPr>
            <w:tcW w:w="1300" w:type="dxa"/>
            <w:shd w:val="clear" w:color="auto" w:fill="auto"/>
            <w:noWrap/>
            <w:vAlign w:val="center"/>
          </w:tcPr>
          <w:p w14:paraId="591398BF">
            <w:pPr>
              <w:rPr>
                <w:rFonts w:hint="eastAsia"/>
                <w:color w:val="000000"/>
                <w:sz w:val="20"/>
                <w:szCs w:val="20"/>
              </w:rPr>
            </w:pPr>
            <w:r>
              <w:rPr>
                <w:rFonts w:hint="eastAsia"/>
                <w:color w:val="000000"/>
                <w:sz w:val="20"/>
                <w:szCs w:val="20"/>
              </w:rPr>
              <w:t>　</w:t>
            </w:r>
          </w:p>
        </w:tc>
      </w:tr>
      <w:tr w14:paraId="53A9B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0" w:type="dxa"/>
            <w:vMerge w:val="continue"/>
            <w:shd w:val="clear" w:color="auto" w:fill="auto"/>
            <w:noWrap w:val="0"/>
            <w:vAlign w:val="center"/>
          </w:tcPr>
          <w:p w14:paraId="24FE1A02">
            <w:pPr>
              <w:rPr>
                <w:color w:val="000000"/>
                <w:sz w:val="20"/>
                <w:szCs w:val="20"/>
              </w:rPr>
            </w:pPr>
          </w:p>
        </w:tc>
        <w:tc>
          <w:tcPr>
            <w:tcW w:w="1580" w:type="dxa"/>
            <w:vMerge w:val="continue"/>
            <w:shd w:val="clear" w:color="auto" w:fill="auto"/>
            <w:noWrap w:val="0"/>
            <w:vAlign w:val="center"/>
          </w:tcPr>
          <w:p w14:paraId="6E2C8E37">
            <w:pPr>
              <w:rPr>
                <w:color w:val="000000"/>
                <w:sz w:val="20"/>
                <w:szCs w:val="20"/>
              </w:rPr>
            </w:pPr>
          </w:p>
        </w:tc>
        <w:tc>
          <w:tcPr>
            <w:tcW w:w="4830" w:type="dxa"/>
            <w:shd w:val="clear" w:color="auto" w:fill="auto"/>
            <w:noWrap w:val="0"/>
            <w:vAlign w:val="center"/>
          </w:tcPr>
          <w:p w14:paraId="09522592">
            <w:pPr>
              <w:rPr>
                <w:rFonts w:hint="eastAsia"/>
                <w:sz w:val="20"/>
                <w:szCs w:val="20"/>
              </w:rPr>
            </w:pPr>
            <w:r>
              <w:rPr>
                <w:rFonts w:hint="eastAsia"/>
                <w:sz w:val="20"/>
                <w:szCs w:val="20"/>
              </w:rPr>
              <w:t>3.内部实配硬盘插槽，且实配硬盘容量≥1T；</w:t>
            </w:r>
          </w:p>
        </w:tc>
        <w:tc>
          <w:tcPr>
            <w:tcW w:w="1300" w:type="dxa"/>
            <w:shd w:val="clear" w:color="auto" w:fill="auto"/>
            <w:noWrap/>
            <w:vAlign w:val="center"/>
          </w:tcPr>
          <w:p w14:paraId="508AC605">
            <w:pPr>
              <w:rPr>
                <w:rFonts w:hint="eastAsia"/>
                <w:color w:val="000000"/>
                <w:sz w:val="20"/>
                <w:szCs w:val="20"/>
              </w:rPr>
            </w:pPr>
            <w:r>
              <w:rPr>
                <w:rFonts w:hint="eastAsia"/>
                <w:color w:val="000000"/>
                <w:sz w:val="20"/>
                <w:szCs w:val="20"/>
              </w:rPr>
              <w:t>　</w:t>
            </w:r>
          </w:p>
        </w:tc>
      </w:tr>
      <w:tr w14:paraId="2D234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0" w:type="dxa"/>
            <w:vMerge w:val="continue"/>
            <w:shd w:val="clear" w:color="auto" w:fill="auto"/>
            <w:noWrap w:val="0"/>
            <w:vAlign w:val="center"/>
          </w:tcPr>
          <w:p w14:paraId="523C1117">
            <w:pPr>
              <w:rPr>
                <w:color w:val="000000"/>
                <w:sz w:val="20"/>
                <w:szCs w:val="20"/>
              </w:rPr>
            </w:pPr>
          </w:p>
        </w:tc>
        <w:tc>
          <w:tcPr>
            <w:tcW w:w="1580" w:type="dxa"/>
            <w:vMerge w:val="continue"/>
            <w:shd w:val="clear" w:color="auto" w:fill="auto"/>
            <w:noWrap w:val="0"/>
            <w:vAlign w:val="center"/>
          </w:tcPr>
          <w:p w14:paraId="412059F3">
            <w:pPr>
              <w:rPr>
                <w:color w:val="000000"/>
                <w:sz w:val="20"/>
                <w:szCs w:val="20"/>
              </w:rPr>
            </w:pPr>
          </w:p>
        </w:tc>
        <w:tc>
          <w:tcPr>
            <w:tcW w:w="4830" w:type="dxa"/>
            <w:shd w:val="clear" w:color="auto" w:fill="auto"/>
            <w:noWrap w:val="0"/>
            <w:vAlign w:val="center"/>
          </w:tcPr>
          <w:p w14:paraId="465EC808">
            <w:pPr>
              <w:rPr>
                <w:rFonts w:hint="eastAsia"/>
                <w:sz w:val="20"/>
                <w:szCs w:val="20"/>
              </w:rPr>
            </w:pPr>
            <w:r>
              <w:rPr>
                <w:rFonts w:hint="eastAsia"/>
                <w:sz w:val="20"/>
                <w:szCs w:val="20"/>
              </w:rPr>
              <w:t>4.固化千兆电口≥8个，固化千兆光口≥1个；</w:t>
            </w:r>
          </w:p>
        </w:tc>
        <w:tc>
          <w:tcPr>
            <w:tcW w:w="1300" w:type="dxa"/>
            <w:shd w:val="clear" w:color="auto" w:fill="auto"/>
            <w:noWrap/>
            <w:vAlign w:val="center"/>
          </w:tcPr>
          <w:p w14:paraId="226E9CC3">
            <w:pPr>
              <w:rPr>
                <w:rFonts w:hint="eastAsia"/>
                <w:color w:val="000000"/>
                <w:sz w:val="20"/>
                <w:szCs w:val="20"/>
              </w:rPr>
            </w:pPr>
            <w:r>
              <w:rPr>
                <w:rFonts w:hint="eastAsia"/>
                <w:color w:val="000000"/>
                <w:sz w:val="20"/>
                <w:szCs w:val="20"/>
              </w:rPr>
              <w:t>　</w:t>
            </w:r>
          </w:p>
        </w:tc>
      </w:tr>
      <w:tr w14:paraId="0ED93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80" w:type="dxa"/>
            <w:vMerge w:val="continue"/>
            <w:shd w:val="clear" w:color="auto" w:fill="auto"/>
            <w:noWrap w:val="0"/>
            <w:vAlign w:val="center"/>
          </w:tcPr>
          <w:p w14:paraId="58797F99">
            <w:pPr>
              <w:rPr>
                <w:color w:val="000000"/>
                <w:sz w:val="20"/>
                <w:szCs w:val="20"/>
              </w:rPr>
            </w:pPr>
          </w:p>
        </w:tc>
        <w:tc>
          <w:tcPr>
            <w:tcW w:w="1580" w:type="dxa"/>
            <w:vMerge w:val="continue"/>
            <w:shd w:val="clear" w:color="auto" w:fill="auto"/>
            <w:noWrap w:val="0"/>
            <w:vAlign w:val="center"/>
          </w:tcPr>
          <w:p w14:paraId="4C9B1DF2">
            <w:pPr>
              <w:rPr>
                <w:color w:val="000000"/>
                <w:sz w:val="20"/>
                <w:szCs w:val="20"/>
              </w:rPr>
            </w:pPr>
          </w:p>
        </w:tc>
        <w:tc>
          <w:tcPr>
            <w:tcW w:w="4830" w:type="dxa"/>
            <w:shd w:val="clear" w:color="auto" w:fill="auto"/>
            <w:noWrap w:val="0"/>
            <w:vAlign w:val="center"/>
          </w:tcPr>
          <w:p w14:paraId="6B4AB0C4">
            <w:pPr>
              <w:rPr>
                <w:rFonts w:hint="eastAsia"/>
                <w:sz w:val="20"/>
                <w:szCs w:val="20"/>
              </w:rPr>
            </w:pPr>
            <w:r>
              <w:rPr>
                <w:rFonts w:hint="eastAsia"/>
                <w:sz w:val="20"/>
                <w:szCs w:val="20"/>
              </w:rPr>
              <w:t>5.保障无线用户的高并发体验，设备固化万兆光口≥1个；</w:t>
            </w:r>
          </w:p>
        </w:tc>
        <w:tc>
          <w:tcPr>
            <w:tcW w:w="1300" w:type="dxa"/>
            <w:shd w:val="clear" w:color="auto" w:fill="auto"/>
            <w:noWrap/>
            <w:vAlign w:val="center"/>
          </w:tcPr>
          <w:p w14:paraId="6298ED05">
            <w:pPr>
              <w:rPr>
                <w:rFonts w:hint="eastAsia"/>
                <w:color w:val="000000"/>
                <w:sz w:val="20"/>
                <w:szCs w:val="20"/>
              </w:rPr>
            </w:pPr>
            <w:r>
              <w:rPr>
                <w:rFonts w:hint="eastAsia"/>
                <w:color w:val="000000"/>
                <w:sz w:val="20"/>
                <w:szCs w:val="20"/>
              </w:rPr>
              <w:t>　</w:t>
            </w:r>
          </w:p>
        </w:tc>
      </w:tr>
      <w:tr w14:paraId="36151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0" w:type="dxa"/>
            <w:vMerge w:val="continue"/>
            <w:shd w:val="clear" w:color="auto" w:fill="auto"/>
            <w:noWrap w:val="0"/>
            <w:vAlign w:val="center"/>
          </w:tcPr>
          <w:p w14:paraId="286902FD">
            <w:pPr>
              <w:rPr>
                <w:color w:val="000000"/>
                <w:sz w:val="20"/>
                <w:szCs w:val="20"/>
              </w:rPr>
            </w:pPr>
          </w:p>
        </w:tc>
        <w:tc>
          <w:tcPr>
            <w:tcW w:w="1580" w:type="dxa"/>
            <w:vMerge w:val="continue"/>
            <w:shd w:val="clear" w:color="auto" w:fill="auto"/>
            <w:noWrap w:val="0"/>
            <w:vAlign w:val="center"/>
          </w:tcPr>
          <w:p w14:paraId="2C497292">
            <w:pPr>
              <w:rPr>
                <w:color w:val="000000"/>
                <w:sz w:val="20"/>
                <w:szCs w:val="20"/>
              </w:rPr>
            </w:pPr>
          </w:p>
        </w:tc>
        <w:tc>
          <w:tcPr>
            <w:tcW w:w="4830" w:type="dxa"/>
            <w:shd w:val="clear" w:color="auto" w:fill="auto"/>
            <w:noWrap w:val="0"/>
            <w:vAlign w:val="center"/>
          </w:tcPr>
          <w:p w14:paraId="00D31CCB">
            <w:pPr>
              <w:rPr>
                <w:rFonts w:hint="eastAsia"/>
                <w:sz w:val="20"/>
                <w:szCs w:val="20"/>
              </w:rPr>
            </w:pPr>
            <w:r>
              <w:rPr>
                <w:rFonts w:hint="eastAsia"/>
                <w:sz w:val="20"/>
                <w:szCs w:val="20"/>
              </w:rPr>
              <w:t>6.支持内存≥4G；</w:t>
            </w:r>
          </w:p>
        </w:tc>
        <w:tc>
          <w:tcPr>
            <w:tcW w:w="1300" w:type="dxa"/>
            <w:shd w:val="clear" w:color="auto" w:fill="auto"/>
            <w:noWrap/>
            <w:vAlign w:val="center"/>
          </w:tcPr>
          <w:p w14:paraId="42B251FE">
            <w:pPr>
              <w:rPr>
                <w:rFonts w:hint="eastAsia"/>
                <w:color w:val="000000"/>
                <w:sz w:val="20"/>
                <w:szCs w:val="20"/>
              </w:rPr>
            </w:pPr>
            <w:r>
              <w:rPr>
                <w:rFonts w:hint="eastAsia"/>
                <w:color w:val="000000"/>
                <w:sz w:val="20"/>
                <w:szCs w:val="20"/>
              </w:rPr>
              <w:t>　</w:t>
            </w:r>
          </w:p>
        </w:tc>
      </w:tr>
      <w:tr w14:paraId="6DEEE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0" w:type="dxa"/>
            <w:vMerge w:val="continue"/>
            <w:shd w:val="clear" w:color="auto" w:fill="auto"/>
            <w:noWrap w:val="0"/>
            <w:vAlign w:val="center"/>
          </w:tcPr>
          <w:p w14:paraId="1524C1BF">
            <w:pPr>
              <w:rPr>
                <w:color w:val="000000"/>
                <w:sz w:val="20"/>
                <w:szCs w:val="20"/>
              </w:rPr>
            </w:pPr>
          </w:p>
        </w:tc>
        <w:tc>
          <w:tcPr>
            <w:tcW w:w="1580" w:type="dxa"/>
            <w:vMerge w:val="continue"/>
            <w:shd w:val="clear" w:color="auto" w:fill="auto"/>
            <w:noWrap w:val="0"/>
            <w:vAlign w:val="center"/>
          </w:tcPr>
          <w:p w14:paraId="0AA3BDFF">
            <w:pPr>
              <w:rPr>
                <w:color w:val="000000"/>
                <w:sz w:val="20"/>
                <w:szCs w:val="20"/>
              </w:rPr>
            </w:pPr>
          </w:p>
        </w:tc>
        <w:tc>
          <w:tcPr>
            <w:tcW w:w="4830" w:type="dxa"/>
            <w:shd w:val="clear" w:color="auto" w:fill="auto"/>
            <w:noWrap w:val="0"/>
            <w:vAlign w:val="center"/>
          </w:tcPr>
          <w:p w14:paraId="038052AE">
            <w:pPr>
              <w:rPr>
                <w:rFonts w:hint="eastAsia"/>
                <w:sz w:val="20"/>
                <w:szCs w:val="20"/>
              </w:rPr>
            </w:pPr>
            <w:r>
              <w:rPr>
                <w:rFonts w:hint="eastAsia"/>
                <w:sz w:val="20"/>
                <w:szCs w:val="20"/>
              </w:rPr>
              <w:t>7.出厂默认AP可管理数≥96个；</w:t>
            </w:r>
          </w:p>
        </w:tc>
        <w:tc>
          <w:tcPr>
            <w:tcW w:w="1300" w:type="dxa"/>
            <w:shd w:val="clear" w:color="auto" w:fill="auto"/>
            <w:noWrap/>
            <w:vAlign w:val="center"/>
          </w:tcPr>
          <w:p w14:paraId="6560AC9F">
            <w:pPr>
              <w:rPr>
                <w:rFonts w:hint="eastAsia"/>
                <w:color w:val="000000"/>
                <w:sz w:val="20"/>
                <w:szCs w:val="20"/>
              </w:rPr>
            </w:pPr>
            <w:r>
              <w:rPr>
                <w:rFonts w:hint="eastAsia"/>
                <w:color w:val="000000"/>
                <w:sz w:val="20"/>
                <w:szCs w:val="20"/>
              </w:rPr>
              <w:t>　</w:t>
            </w:r>
          </w:p>
        </w:tc>
      </w:tr>
      <w:tr w14:paraId="438D4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0" w:type="dxa"/>
            <w:vMerge w:val="continue"/>
            <w:shd w:val="clear" w:color="auto" w:fill="auto"/>
            <w:noWrap w:val="0"/>
            <w:vAlign w:val="center"/>
          </w:tcPr>
          <w:p w14:paraId="43CF259D">
            <w:pPr>
              <w:rPr>
                <w:color w:val="000000"/>
                <w:sz w:val="20"/>
                <w:szCs w:val="20"/>
              </w:rPr>
            </w:pPr>
          </w:p>
        </w:tc>
        <w:tc>
          <w:tcPr>
            <w:tcW w:w="1580" w:type="dxa"/>
            <w:vMerge w:val="continue"/>
            <w:shd w:val="clear" w:color="auto" w:fill="auto"/>
            <w:noWrap w:val="0"/>
            <w:vAlign w:val="center"/>
          </w:tcPr>
          <w:p w14:paraId="3FA9BA07">
            <w:pPr>
              <w:rPr>
                <w:color w:val="000000"/>
                <w:sz w:val="20"/>
                <w:szCs w:val="20"/>
              </w:rPr>
            </w:pPr>
          </w:p>
        </w:tc>
        <w:tc>
          <w:tcPr>
            <w:tcW w:w="4830" w:type="dxa"/>
            <w:shd w:val="clear" w:color="auto" w:fill="auto"/>
            <w:noWrap w:val="0"/>
            <w:vAlign w:val="center"/>
          </w:tcPr>
          <w:p w14:paraId="3047826C">
            <w:pPr>
              <w:rPr>
                <w:rFonts w:hint="eastAsia"/>
                <w:sz w:val="20"/>
                <w:szCs w:val="20"/>
              </w:rPr>
            </w:pPr>
            <w:r>
              <w:rPr>
                <w:rFonts w:hint="eastAsia"/>
                <w:sz w:val="20"/>
                <w:szCs w:val="20"/>
              </w:rPr>
              <w:t>8.集中转发AP可管理数≥128；</w:t>
            </w:r>
          </w:p>
        </w:tc>
        <w:tc>
          <w:tcPr>
            <w:tcW w:w="1300" w:type="dxa"/>
            <w:shd w:val="clear" w:color="auto" w:fill="auto"/>
            <w:noWrap/>
            <w:vAlign w:val="center"/>
          </w:tcPr>
          <w:p w14:paraId="5312D770">
            <w:pPr>
              <w:rPr>
                <w:rFonts w:hint="eastAsia"/>
                <w:color w:val="000000"/>
                <w:sz w:val="20"/>
                <w:szCs w:val="20"/>
              </w:rPr>
            </w:pPr>
            <w:r>
              <w:rPr>
                <w:rFonts w:hint="eastAsia"/>
                <w:color w:val="000000"/>
                <w:sz w:val="20"/>
                <w:szCs w:val="20"/>
              </w:rPr>
              <w:t>　</w:t>
            </w:r>
          </w:p>
        </w:tc>
      </w:tr>
      <w:tr w14:paraId="69E62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0" w:type="dxa"/>
            <w:vMerge w:val="continue"/>
            <w:shd w:val="clear" w:color="auto" w:fill="auto"/>
            <w:noWrap w:val="0"/>
            <w:vAlign w:val="center"/>
          </w:tcPr>
          <w:p w14:paraId="7ECB97D2">
            <w:pPr>
              <w:rPr>
                <w:color w:val="000000"/>
                <w:sz w:val="20"/>
                <w:szCs w:val="20"/>
              </w:rPr>
            </w:pPr>
          </w:p>
        </w:tc>
        <w:tc>
          <w:tcPr>
            <w:tcW w:w="1580" w:type="dxa"/>
            <w:vMerge w:val="continue"/>
            <w:shd w:val="clear" w:color="auto" w:fill="auto"/>
            <w:noWrap w:val="0"/>
            <w:vAlign w:val="center"/>
          </w:tcPr>
          <w:p w14:paraId="10D3AC80">
            <w:pPr>
              <w:rPr>
                <w:color w:val="000000"/>
                <w:sz w:val="20"/>
                <w:szCs w:val="20"/>
              </w:rPr>
            </w:pPr>
          </w:p>
        </w:tc>
        <w:tc>
          <w:tcPr>
            <w:tcW w:w="4830" w:type="dxa"/>
            <w:shd w:val="clear" w:color="auto" w:fill="auto"/>
            <w:noWrap w:val="0"/>
            <w:vAlign w:val="center"/>
          </w:tcPr>
          <w:p w14:paraId="36817605">
            <w:pPr>
              <w:rPr>
                <w:rFonts w:hint="eastAsia"/>
                <w:sz w:val="20"/>
                <w:szCs w:val="20"/>
              </w:rPr>
            </w:pPr>
            <w:r>
              <w:rPr>
                <w:rFonts w:hint="eastAsia"/>
                <w:sz w:val="20"/>
                <w:szCs w:val="20"/>
              </w:rPr>
              <w:t>9.本地转发AP可管理数≥800；</w:t>
            </w:r>
          </w:p>
        </w:tc>
        <w:tc>
          <w:tcPr>
            <w:tcW w:w="1300" w:type="dxa"/>
            <w:shd w:val="clear" w:color="auto" w:fill="auto"/>
            <w:noWrap/>
            <w:vAlign w:val="center"/>
          </w:tcPr>
          <w:p w14:paraId="5059AB86">
            <w:pPr>
              <w:rPr>
                <w:rFonts w:hint="eastAsia"/>
                <w:color w:val="000000"/>
                <w:sz w:val="20"/>
                <w:szCs w:val="20"/>
              </w:rPr>
            </w:pPr>
            <w:r>
              <w:rPr>
                <w:rFonts w:hint="eastAsia"/>
                <w:color w:val="000000"/>
                <w:sz w:val="20"/>
                <w:szCs w:val="20"/>
              </w:rPr>
              <w:t>　</w:t>
            </w:r>
          </w:p>
        </w:tc>
      </w:tr>
      <w:tr w14:paraId="059E0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0" w:type="dxa"/>
            <w:vMerge w:val="continue"/>
            <w:shd w:val="clear" w:color="auto" w:fill="auto"/>
            <w:noWrap w:val="0"/>
            <w:vAlign w:val="center"/>
          </w:tcPr>
          <w:p w14:paraId="3A2FF17F">
            <w:pPr>
              <w:rPr>
                <w:color w:val="000000"/>
                <w:sz w:val="20"/>
                <w:szCs w:val="20"/>
              </w:rPr>
            </w:pPr>
          </w:p>
        </w:tc>
        <w:tc>
          <w:tcPr>
            <w:tcW w:w="1580" w:type="dxa"/>
            <w:vMerge w:val="continue"/>
            <w:shd w:val="clear" w:color="auto" w:fill="auto"/>
            <w:noWrap w:val="0"/>
            <w:vAlign w:val="center"/>
          </w:tcPr>
          <w:p w14:paraId="411D049E">
            <w:pPr>
              <w:rPr>
                <w:color w:val="000000"/>
                <w:sz w:val="20"/>
                <w:szCs w:val="20"/>
              </w:rPr>
            </w:pPr>
          </w:p>
        </w:tc>
        <w:tc>
          <w:tcPr>
            <w:tcW w:w="4830" w:type="dxa"/>
            <w:shd w:val="clear" w:color="auto" w:fill="auto"/>
            <w:noWrap w:val="0"/>
            <w:vAlign w:val="center"/>
          </w:tcPr>
          <w:p w14:paraId="35344B42">
            <w:pPr>
              <w:rPr>
                <w:rFonts w:hint="eastAsia"/>
                <w:sz w:val="20"/>
                <w:szCs w:val="20"/>
              </w:rPr>
            </w:pPr>
            <w:r>
              <w:rPr>
                <w:rFonts w:hint="eastAsia"/>
                <w:sz w:val="20"/>
                <w:szCs w:val="20"/>
              </w:rPr>
              <w:t>10.AP License增加数量≥1；</w:t>
            </w:r>
          </w:p>
        </w:tc>
        <w:tc>
          <w:tcPr>
            <w:tcW w:w="1300" w:type="dxa"/>
            <w:shd w:val="clear" w:color="auto" w:fill="auto"/>
            <w:noWrap/>
            <w:vAlign w:val="center"/>
          </w:tcPr>
          <w:p w14:paraId="175B66FA">
            <w:pPr>
              <w:rPr>
                <w:rFonts w:hint="eastAsia"/>
                <w:color w:val="000000"/>
                <w:sz w:val="20"/>
                <w:szCs w:val="20"/>
              </w:rPr>
            </w:pPr>
            <w:r>
              <w:rPr>
                <w:rFonts w:hint="eastAsia"/>
                <w:color w:val="000000"/>
                <w:sz w:val="20"/>
                <w:szCs w:val="20"/>
              </w:rPr>
              <w:t>　</w:t>
            </w:r>
          </w:p>
        </w:tc>
      </w:tr>
      <w:tr w14:paraId="2E610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780" w:type="dxa"/>
            <w:vMerge w:val="continue"/>
            <w:shd w:val="clear" w:color="auto" w:fill="auto"/>
            <w:noWrap w:val="0"/>
            <w:vAlign w:val="center"/>
          </w:tcPr>
          <w:p w14:paraId="3EB974F2">
            <w:pPr>
              <w:rPr>
                <w:color w:val="000000"/>
                <w:sz w:val="20"/>
                <w:szCs w:val="20"/>
              </w:rPr>
            </w:pPr>
          </w:p>
        </w:tc>
        <w:tc>
          <w:tcPr>
            <w:tcW w:w="1580" w:type="dxa"/>
            <w:vMerge w:val="continue"/>
            <w:shd w:val="clear" w:color="auto" w:fill="auto"/>
            <w:noWrap w:val="0"/>
            <w:vAlign w:val="center"/>
          </w:tcPr>
          <w:p w14:paraId="6A8AB8D7">
            <w:pPr>
              <w:rPr>
                <w:color w:val="000000"/>
                <w:sz w:val="20"/>
                <w:szCs w:val="20"/>
              </w:rPr>
            </w:pPr>
          </w:p>
        </w:tc>
        <w:tc>
          <w:tcPr>
            <w:tcW w:w="4830" w:type="dxa"/>
            <w:shd w:val="clear" w:color="auto" w:fill="auto"/>
            <w:noWrap w:val="0"/>
            <w:vAlign w:val="center"/>
          </w:tcPr>
          <w:p w14:paraId="7E2906F1">
            <w:pPr>
              <w:rPr>
                <w:rFonts w:hint="eastAsia"/>
                <w:sz w:val="20"/>
                <w:szCs w:val="20"/>
              </w:rPr>
            </w:pPr>
            <w:r>
              <w:rPr>
                <w:rFonts w:hint="eastAsia"/>
                <w:sz w:val="20"/>
                <w:szCs w:val="20"/>
              </w:rPr>
              <w:t>11.要求设备可配置AP的本地数据转发技术模式，即可根据网络的SSID和用户VLAN的规划，决定数据是否需要全部经过无线AC转发或直接进入有线网络进行本地交换，从而更好的适应未来无线网络更高流量传输的要求；</w:t>
            </w:r>
          </w:p>
        </w:tc>
        <w:tc>
          <w:tcPr>
            <w:tcW w:w="1300" w:type="dxa"/>
            <w:shd w:val="clear" w:color="auto" w:fill="auto"/>
            <w:noWrap/>
            <w:vAlign w:val="center"/>
          </w:tcPr>
          <w:p w14:paraId="2928539C">
            <w:pPr>
              <w:rPr>
                <w:rFonts w:hint="eastAsia"/>
                <w:color w:val="000000"/>
                <w:sz w:val="20"/>
                <w:szCs w:val="20"/>
              </w:rPr>
            </w:pPr>
            <w:r>
              <w:rPr>
                <w:rFonts w:hint="eastAsia"/>
                <w:color w:val="000000"/>
                <w:sz w:val="20"/>
                <w:szCs w:val="20"/>
              </w:rPr>
              <w:t>　</w:t>
            </w:r>
          </w:p>
        </w:tc>
      </w:tr>
      <w:tr w14:paraId="641F3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0" w:type="dxa"/>
            <w:vMerge w:val="continue"/>
            <w:shd w:val="clear" w:color="auto" w:fill="auto"/>
            <w:noWrap w:val="0"/>
            <w:vAlign w:val="center"/>
          </w:tcPr>
          <w:p w14:paraId="3E333C6F">
            <w:pPr>
              <w:rPr>
                <w:color w:val="000000"/>
                <w:sz w:val="20"/>
                <w:szCs w:val="20"/>
              </w:rPr>
            </w:pPr>
          </w:p>
        </w:tc>
        <w:tc>
          <w:tcPr>
            <w:tcW w:w="1580" w:type="dxa"/>
            <w:vMerge w:val="continue"/>
            <w:shd w:val="clear" w:color="auto" w:fill="auto"/>
            <w:noWrap w:val="0"/>
            <w:vAlign w:val="center"/>
          </w:tcPr>
          <w:p w14:paraId="4FEA8A16">
            <w:pPr>
              <w:rPr>
                <w:color w:val="000000"/>
                <w:sz w:val="20"/>
                <w:szCs w:val="20"/>
              </w:rPr>
            </w:pPr>
          </w:p>
        </w:tc>
        <w:tc>
          <w:tcPr>
            <w:tcW w:w="4830" w:type="dxa"/>
            <w:shd w:val="clear" w:color="auto" w:fill="auto"/>
            <w:noWrap w:val="0"/>
            <w:vAlign w:val="center"/>
          </w:tcPr>
          <w:p w14:paraId="18274A7E">
            <w:pPr>
              <w:rPr>
                <w:rFonts w:hint="eastAsia"/>
                <w:sz w:val="20"/>
                <w:szCs w:val="20"/>
              </w:rPr>
            </w:pPr>
            <w:r>
              <w:rPr>
                <w:rFonts w:hint="eastAsia"/>
                <w:sz w:val="20"/>
                <w:szCs w:val="20"/>
              </w:rPr>
              <w:t>12.支持将用户上下线信息发送给第三方系统；</w:t>
            </w:r>
          </w:p>
        </w:tc>
        <w:tc>
          <w:tcPr>
            <w:tcW w:w="1300" w:type="dxa"/>
            <w:shd w:val="clear" w:color="auto" w:fill="auto"/>
            <w:noWrap/>
            <w:vAlign w:val="center"/>
          </w:tcPr>
          <w:p w14:paraId="537D8E10">
            <w:pPr>
              <w:rPr>
                <w:rFonts w:hint="eastAsia"/>
                <w:color w:val="000000"/>
                <w:sz w:val="20"/>
                <w:szCs w:val="20"/>
              </w:rPr>
            </w:pPr>
            <w:r>
              <w:rPr>
                <w:rFonts w:hint="eastAsia"/>
                <w:color w:val="000000"/>
                <w:sz w:val="20"/>
                <w:szCs w:val="20"/>
              </w:rPr>
              <w:t>　</w:t>
            </w:r>
          </w:p>
        </w:tc>
      </w:tr>
      <w:tr w14:paraId="4169D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0" w:type="dxa"/>
            <w:vMerge w:val="continue"/>
            <w:shd w:val="clear" w:color="auto" w:fill="auto"/>
            <w:noWrap w:val="0"/>
            <w:vAlign w:val="center"/>
          </w:tcPr>
          <w:p w14:paraId="641E7B45">
            <w:pPr>
              <w:rPr>
                <w:color w:val="000000"/>
                <w:sz w:val="20"/>
                <w:szCs w:val="20"/>
              </w:rPr>
            </w:pPr>
          </w:p>
        </w:tc>
        <w:tc>
          <w:tcPr>
            <w:tcW w:w="1580" w:type="dxa"/>
            <w:vMerge w:val="continue"/>
            <w:shd w:val="clear" w:color="auto" w:fill="auto"/>
            <w:noWrap w:val="0"/>
            <w:vAlign w:val="center"/>
          </w:tcPr>
          <w:p w14:paraId="56CC1332">
            <w:pPr>
              <w:rPr>
                <w:color w:val="000000"/>
                <w:sz w:val="20"/>
                <w:szCs w:val="20"/>
              </w:rPr>
            </w:pPr>
          </w:p>
        </w:tc>
        <w:tc>
          <w:tcPr>
            <w:tcW w:w="4830" w:type="dxa"/>
            <w:shd w:val="clear" w:color="auto" w:fill="auto"/>
            <w:noWrap w:val="0"/>
            <w:vAlign w:val="center"/>
          </w:tcPr>
          <w:p w14:paraId="040B1C82">
            <w:pPr>
              <w:rPr>
                <w:rFonts w:hint="eastAsia"/>
                <w:sz w:val="20"/>
                <w:szCs w:val="20"/>
              </w:rPr>
            </w:pPr>
            <w:r>
              <w:rPr>
                <w:rFonts w:hint="eastAsia"/>
                <w:sz w:val="20"/>
                <w:szCs w:val="20"/>
              </w:rPr>
              <w:t>13.对Wall AP可支持的容量翻倍；</w:t>
            </w:r>
          </w:p>
        </w:tc>
        <w:tc>
          <w:tcPr>
            <w:tcW w:w="1300" w:type="dxa"/>
            <w:shd w:val="clear" w:color="auto" w:fill="auto"/>
            <w:noWrap/>
            <w:vAlign w:val="center"/>
          </w:tcPr>
          <w:p w14:paraId="4E94C4D8">
            <w:pPr>
              <w:rPr>
                <w:rFonts w:hint="eastAsia"/>
                <w:color w:val="000000"/>
                <w:sz w:val="20"/>
                <w:szCs w:val="20"/>
              </w:rPr>
            </w:pPr>
            <w:r>
              <w:rPr>
                <w:rFonts w:hint="eastAsia"/>
                <w:color w:val="000000"/>
                <w:sz w:val="20"/>
                <w:szCs w:val="20"/>
              </w:rPr>
              <w:t>　</w:t>
            </w:r>
          </w:p>
        </w:tc>
      </w:tr>
      <w:tr w14:paraId="2D2F3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80" w:type="dxa"/>
            <w:vMerge w:val="continue"/>
            <w:shd w:val="clear" w:color="auto" w:fill="auto"/>
            <w:noWrap w:val="0"/>
            <w:vAlign w:val="center"/>
          </w:tcPr>
          <w:p w14:paraId="4C01F006">
            <w:pPr>
              <w:rPr>
                <w:color w:val="000000"/>
                <w:sz w:val="20"/>
                <w:szCs w:val="20"/>
              </w:rPr>
            </w:pPr>
          </w:p>
        </w:tc>
        <w:tc>
          <w:tcPr>
            <w:tcW w:w="1580" w:type="dxa"/>
            <w:vMerge w:val="continue"/>
            <w:shd w:val="clear" w:color="auto" w:fill="auto"/>
            <w:noWrap w:val="0"/>
            <w:vAlign w:val="center"/>
          </w:tcPr>
          <w:p w14:paraId="32648409">
            <w:pPr>
              <w:rPr>
                <w:color w:val="000000"/>
                <w:sz w:val="20"/>
                <w:szCs w:val="20"/>
              </w:rPr>
            </w:pPr>
          </w:p>
        </w:tc>
        <w:tc>
          <w:tcPr>
            <w:tcW w:w="4830" w:type="dxa"/>
            <w:shd w:val="clear" w:color="auto" w:fill="auto"/>
            <w:noWrap w:val="0"/>
            <w:vAlign w:val="center"/>
          </w:tcPr>
          <w:p w14:paraId="2B56EEC8">
            <w:pPr>
              <w:rPr>
                <w:rFonts w:hint="eastAsia"/>
                <w:color w:val="FF0000"/>
                <w:sz w:val="20"/>
                <w:szCs w:val="20"/>
              </w:rPr>
            </w:pPr>
            <w:r>
              <w:rPr>
                <w:rFonts w:hint="eastAsia"/>
                <w:color w:val="FF0000"/>
                <w:sz w:val="20"/>
                <w:szCs w:val="20"/>
              </w:rPr>
              <w:t>▲14.支持短信认证、固定账号认证、访客二维码、微信认证多种方式认证页面合一，由用户选择自己想要的认证方式进行认证上网；支持中移动portal2.0认证；</w:t>
            </w:r>
          </w:p>
        </w:tc>
        <w:tc>
          <w:tcPr>
            <w:tcW w:w="1300" w:type="dxa"/>
            <w:shd w:val="clear" w:color="auto" w:fill="auto"/>
            <w:noWrap/>
            <w:vAlign w:val="center"/>
          </w:tcPr>
          <w:p w14:paraId="735006FD">
            <w:pPr>
              <w:rPr>
                <w:rFonts w:hint="eastAsia"/>
                <w:color w:val="000000"/>
                <w:sz w:val="20"/>
                <w:szCs w:val="20"/>
              </w:rPr>
            </w:pPr>
            <w:r>
              <w:rPr>
                <w:rFonts w:hint="eastAsia"/>
                <w:color w:val="000000"/>
                <w:sz w:val="20"/>
                <w:szCs w:val="20"/>
              </w:rPr>
              <w:t>　</w:t>
            </w:r>
          </w:p>
        </w:tc>
      </w:tr>
      <w:tr w14:paraId="5B59D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80" w:type="dxa"/>
            <w:vMerge w:val="continue"/>
            <w:shd w:val="clear" w:color="auto" w:fill="auto"/>
            <w:noWrap w:val="0"/>
            <w:vAlign w:val="center"/>
          </w:tcPr>
          <w:p w14:paraId="3ABC72FE">
            <w:pPr>
              <w:rPr>
                <w:color w:val="000000"/>
                <w:sz w:val="20"/>
                <w:szCs w:val="20"/>
              </w:rPr>
            </w:pPr>
          </w:p>
        </w:tc>
        <w:tc>
          <w:tcPr>
            <w:tcW w:w="1580" w:type="dxa"/>
            <w:vMerge w:val="continue"/>
            <w:shd w:val="clear" w:color="auto" w:fill="auto"/>
            <w:noWrap w:val="0"/>
            <w:vAlign w:val="center"/>
          </w:tcPr>
          <w:p w14:paraId="66B099BC">
            <w:pPr>
              <w:rPr>
                <w:color w:val="000000"/>
                <w:sz w:val="20"/>
                <w:szCs w:val="20"/>
              </w:rPr>
            </w:pPr>
          </w:p>
        </w:tc>
        <w:tc>
          <w:tcPr>
            <w:tcW w:w="4830" w:type="dxa"/>
            <w:shd w:val="clear" w:color="auto" w:fill="auto"/>
            <w:noWrap w:val="0"/>
            <w:vAlign w:val="center"/>
          </w:tcPr>
          <w:p w14:paraId="203ECCBB">
            <w:pPr>
              <w:rPr>
                <w:rFonts w:hint="eastAsia"/>
                <w:color w:val="FF0000"/>
                <w:sz w:val="20"/>
                <w:szCs w:val="20"/>
              </w:rPr>
            </w:pPr>
            <w:r>
              <w:rPr>
                <w:rFonts w:hint="eastAsia"/>
                <w:color w:val="FF0000"/>
                <w:sz w:val="20"/>
                <w:szCs w:val="20"/>
              </w:rPr>
              <w:t>▲15.支持MAC认证、WEB认证、802.1X认证、WAPI认证 ，认证后能实现IP、MAC、WLAN等元素的绑定信息，保证只有合法的用户才能进入网络。</w:t>
            </w:r>
          </w:p>
        </w:tc>
        <w:tc>
          <w:tcPr>
            <w:tcW w:w="1300" w:type="dxa"/>
            <w:shd w:val="clear" w:color="auto" w:fill="auto"/>
            <w:noWrap/>
            <w:vAlign w:val="center"/>
          </w:tcPr>
          <w:p w14:paraId="7C74BE8B">
            <w:pPr>
              <w:rPr>
                <w:rFonts w:hint="eastAsia"/>
                <w:color w:val="000000"/>
                <w:sz w:val="20"/>
                <w:szCs w:val="20"/>
              </w:rPr>
            </w:pPr>
            <w:r>
              <w:rPr>
                <w:rFonts w:hint="eastAsia"/>
                <w:color w:val="000000"/>
                <w:sz w:val="20"/>
                <w:szCs w:val="20"/>
              </w:rPr>
              <w:t>　</w:t>
            </w:r>
          </w:p>
        </w:tc>
      </w:tr>
      <w:tr w14:paraId="67A8F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80" w:type="dxa"/>
            <w:vMerge w:val="restart"/>
            <w:shd w:val="clear" w:color="auto" w:fill="auto"/>
            <w:noWrap/>
            <w:vAlign w:val="center"/>
          </w:tcPr>
          <w:p w14:paraId="24FA586C">
            <w:pPr>
              <w:jc w:val="center"/>
              <w:rPr>
                <w:rFonts w:hint="eastAsia"/>
                <w:color w:val="000000"/>
                <w:sz w:val="20"/>
                <w:szCs w:val="20"/>
              </w:rPr>
            </w:pPr>
            <w:r>
              <w:rPr>
                <w:rFonts w:hint="eastAsia"/>
                <w:color w:val="000000"/>
                <w:sz w:val="20"/>
                <w:szCs w:val="20"/>
              </w:rPr>
              <w:t>2</w:t>
            </w:r>
          </w:p>
        </w:tc>
        <w:tc>
          <w:tcPr>
            <w:tcW w:w="1580" w:type="dxa"/>
            <w:vMerge w:val="restart"/>
            <w:shd w:val="clear" w:color="auto" w:fill="auto"/>
            <w:noWrap/>
            <w:vAlign w:val="center"/>
          </w:tcPr>
          <w:p w14:paraId="7F5FBC86">
            <w:pPr>
              <w:jc w:val="center"/>
              <w:rPr>
                <w:rFonts w:hint="eastAsia"/>
                <w:color w:val="000000"/>
                <w:sz w:val="20"/>
                <w:szCs w:val="20"/>
              </w:rPr>
            </w:pPr>
            <w:r>
              <w:rPr>
                <w:rFonts w:hint="eastAsia"/>
                <w:color w:val="000000"/>
                <w:sz w:val="20"/>
                <w:szCs w:val="20"/>
              </w:rPr>
              <w:t>网管软件</w:t>
            </w:r>
          </w:p>
        </w:tc>
        <w:tc>
          <w:tcPr>
            <w:tcW w:w="4830" w:type="dxa"/>
            <w:shd w:val="clear" w:color="auto" w:fill="auto"/>
            <w:noWrap w:val="0"/>
            <w:vAlign w:val="center"/>
          </w:tcPr>
          <w:p w14:paraId="71A6B79E">
            <w:pPr>
              <w:rPr>
                <w:rFonts w:hint="eastAsia"/>
                <w:color w:val="000000"/>
                <w:sz w:val="20"/>
                <w:szCs w:val="20"/>
              </w:rPr>
            </w:pPr>
            <w:r>
              <w:rPr>
                <w:rFonts w:hint="eastAsia"/>
                <w:color w:val="000000"/>
                <w:sz w:val="20"/>
                <w:szCs w:val="20"/>
              </w:rPr>
              <w:t>1.支持创建交换机的业务模板，支持图形化界面提前规划各端口业务；</w:t>
            </w:r>
          </w:p>
        </w:tc>
        <w:tc>
          <w:tcPr>
            <w:tcW w:w="1300" w:type="dxa"/>
            <w:shd w:val="clear" w:color="auto" w:fill="auto"/>
            <w:noWrap/>
            <w:vAlign w:val="center"/>
          </w:tcPr>
          <w:p w14:paraId="4865597B">
            <w:pPr>
              <w:rPr>
                <w:rFonts w:hint="eastAsia"/>
                <w:color w:val="000000"/>
                <w:sz w:val="20"/>
                <w:szCs w:val="20"/>
              </w:rPr>
            </w:pPr>
            <w:r>
              <w:rPr>
                <w:rFonts w:hint="eastAsia"/>
                <w:color w:val="000000"/>
                <w:sz w:val="20"/>
                <w:szCs w:val="20"/>
              </w:rPr>
              <w:t>　</w:t>
            </w:r>
          </w:p>
        </w:tc>
      </w:tr>
      <w:tr w14:paraId="7F299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80" w:type="dxa"/>
            <w:vMerge w:val="continue"/>
            <w:shd w:val="clear" w:color="auto" w:fill="auto"/>
            <w:noWrap w:val="0"/>
            <w:vAlign w:val="center"/>
          </w:tcPr>
          <w:p w14:paraId="31B5AF6F">
            <w:pPr>
              <w:rPr>
                <w:color w:val="000000"/>
                <w:sz w:val="20"/>
                <w:szCs w:val="20"/>
              </w:rPr>
            </w:pPr>
          </w:p>
        </w:tc>
        <w:tc>
          <w:tcPr>
            <w:tcW w:w="1580" w:type="dxa"/>
            <w:vMerge w:val="continue"/>
            <w:shd w:val="clear" w:color="auto" w:fill="auto"/>
            <w:noWrap w:val="0"/>
            <w:vAlign w:val="center"/>
          </w:tcPr>
          <w:p w14:paraId="0CC2A090">
            <w:pPr>
              <w:rPr>
                <w:color w:val="000000"/>
                <w:sz w:val="20"/>
                <w:szCs w:val="20"/>
              </w:rPr>
            </w:pPr>
          </w:p>
        </w:tc>
        <w:tc>
          <w:tcPr>
            <w:tcW w:w="4830" w:type="dxa"/>
            <w:shd w:val="clear" w:color="auto" w:fill="auto"/>
            <w:noWrap w:val="0"/>
            <w:vAlign w:val="center"/>
          </w:tcPr>
          <w:p w14:paraId="44042902">
            <w:pPr>
              <w:rPr>
                <w:rFonts w:hint="eastAsia"/>
                <w:color w:val="000000"/>
                <w:sz w:val="20"/>
                <w:szCs w:val="20"/>
              </w:rPr>
            </w:pPr>
            <w:r>
              <w:rPr>
                <w:rFonts w:hint="eastAsia"/>
                <w:color w:val="000000"/>
                <w:sz w:val="20"/>
                <w:szCs w:val="20"/>
              </w:rPr>
              <w:t>2.交换机支持零配置上线。根据不同区域的业务创建相应业务模板后，绑定设备区域位置信息，设备开箱上电后配置即可自动从软件下发，无需在接入设备端刷入配置；</w:t>
            </w:r>
          </w:p>
        </w:tc>
        <w:tc>
          <w:tcPr>
            <w:tcW w:w="1300" w:type="dxa"/>
            <w:shd w:val="clear" w:color="auto" w:fill="auto"/>
            <w:noWrap/>
            <w:vAlign w:val="center"/>
          </w:tcPr>
          <w:p w14:paraId="196D68BE">
            <w:pPr>
              <w:rPr>
                <w:rFonts w:hint="eastAsia"/>
                <w:color w:val="000000"/>
                <w:sz w:val="20"/>
                <w:szCs w:val="20"/>
              </w:rPr>
            </w:pPr>
            <w:r>
              <w:rPr>
                <w:rFonts w:hint="eastAsia"/>
                <w:color w:val="000000"/>
                <w:sz w:val="20"/>
                <w:szCs w:val="20"/>
              </w:rPr>
              <w:t>　</w:t>
            </w:r>
          </w:p>
        </w:tc>
      </w:tr>
      <w:tr w14:paraId="4FC82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80" w:type="dxa"/>
            <w:vMerge w:val="continue"/>
            <w:shd w:val="clear" w:color="auto" w:fill="auto"/>
            <w:noWrap w:val="0"/>
            <w:vAlign w:val="center"/>
          </w:tcPr>
          <w:p w14:paraId="0D29B568">
            <w:pPr>
              <w:rPr>
                <w:color w:val="000000"/>
                <w:sz w:val="20"/>
                <w:szCs w:val="20"/>
              </w:rPr>
            </w:pPr>
          </w:p>
        </w:tc>
        <w:tc>
          <w:tcPr>
            <w:tcW w:w="1580" w:type="dxa"/>
            <w:vMerge w:val="continue"/>
            <w:shd w:val="clear" w:color="auto" w:fill="auto"/>
            <w:noWrap w:val="0"/>
            <w:vAlign w:val="center"/>
          </w:tcPr>
          <w:p w14:paraId="16C64173">
            <w:pPr>
              <w:rPr>
                <w:color w:val="000000"/>
                <w:sz w:val="20"/>
                <w:szCs w:val="20"/>
              </w:rPr>
            </w:pPr>
          </w:p>
        </w:tc>
        <w:tc>
          <w:tcPr>
            <w:tcW w:w="4830" w:type="dxa"/>
            <w:shd w:val="clear" w:color="auto" w:fill="auto"/>
            <w:noWrap w:val="0"/>
            <w:vAlign w:val="center"/>
          </w:tcPr>
          <w:p w14:paraId="2C3BF93C">
            <w:pPr>
              <w:rPr>
                <w:rFonts w:hint="eastAsia"/>
                <w:color w:val="000000"/>
                <w:sz w:val="20"/>
                <w:szCs w:val="20"/>
              </w:rPr>
            </w:pPr>
            <w:r>
              <w:rPr>
                <w:rFonts w:hint="eastAsia"/>
                <w:color w:val="000000"/>
                <w:sz w:val="20"/>
                <w:szCs w:val="20"/>
              </w:rPr>
              <w:t>3.当交换机出现故障，支持替换用的新设备的零配置替换，新设备上电后配置自动下发，无需手动配置；</w:t>
            </w:r>
          </w:p>
        </w:tc>
        <w:tc>
          <w:tcPr>
            <w:tcW w:w="1300" w:type="dxa"/>
            <w:shd w:val="clear" w:color="auto" w:fill="auto"/>
            <w:noWrap/>
            <w:vAlign w:val="center"/>
          </w:tcPr>
          <w:p w14:paraId="0B2159F3">
            <w:pPr>
              <w:rPr>
                <w:rFonts w:hint="eastAsia"/>
                <w:color w:val="000000"/>
                <w:sz w:val="20"/>
                <w:szCs w:val="20"/>
              </w:rPr>
            </w:pPr>
            <w:r>
              <w:rPr>
                <w:rFonts w:hint="eastAsia"/>
                <w:color w:val="000000"/>
                <w:sz w:val="20"/>
                <w:szCs w:val="20"/>
              </w:rPr>
              <w:t>　</w:t>
            </w:r>
          </w:p>
        </w:tc>
      </w:tr>
      <w:tr w14:paraId="78F37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780" w:type="dxa"/>
            <w:vMerge w:val="continue"/>
            <w:shd w:val="clear" w:color="auto" w:fill="auto"/>
            <w:noWrap w:val="0"/>
            <w:vAlign w:val="center"/>
          </w:tcPr>
          <w:p w14:paraId="68AE6C0D">
            <w:pPr>
              <w:rPr>
                <w:color w:val="000000"/>
                <w:sz w:val="20"/>
                <w:szCs w:val="20"/>
              </w:rPr>
            </w:pPr>
          </w:p>
        </w:tc>
        <w:tc>
          <w:tcPr>
            <w:tcW w:w="1580" w:type="dxa"/>
            <w:vMerge w:val="continue"/>
            <w:shd w:val="clear" w:color="auto" w:fill="auto"/>
            <w:noWrap w:val="0"/>
            <w:vAlign w:val="center"/>
          </w:tcPr>
          <w:p w14:paraId="7541312E">
            <w:pPr>
              <w:rPr>
                <w:color w:val="000000"/>
                <w:sz w:val="20"/>
                <w:szCs w:val="20"/>
              </w:rPr>
            </w:pPr>
          </w:p>
        </w:tc>
        <w:tc>
          <w:tcPr>
            <w:tcW w:w="4830" w:type="dxa"/>
            <w:shd w:val="clear" w:color="auto" w:fill="auto"/>
            <w:noWrap w:val="0"/>
            <w:vAlign w:val="center"/>
          </w:tcPr>
          <w:p w14:paraId="32EA04E9">
            <w:pPr>
              <w:rPr>
                <w:rFonts w:hint="eastAsia"/>
                <w:color w:val="FF0000"/>
                <w:sz w:val="20"/>
                <w:szCs w:val="20"/>
              </w:rPr>
            </w:pPr>
            <w:r>
              <w:rPr>
                <w:rFonts w:hint="eastAsia"/>
                <w:color w:val="FF0000"/>
                <w:sz w:val="20"/>
                <w:szCs w:val="20"/>
              </w:rPr>
              <w:t>▲4.当交换机出现故障，替换用的新设备支持智能零替换。支持自适应不同型号间的设备替换，以及替换后新设备支持终端在任意端口接入，并且终端在原有设备接入端口的配置可自动跟随到新设备端口；</w:t>
            </w:r>
          </w:p>
        </w:tc>
        <w:tc>
          <w:tcPr>
            <w:tcW w:w="1300" w:type="dxa"/>
            <w:shd w:val="clear" w:color="auto" w:fill="auto"/>
            <w:noWrap/>
            <w:vAlign w:val="center"/>
          </w:tcPr>
          <w:p w14:paraId="09B1FF45">
            <w:pPr>
              <w:rPr>
                <w:rFonts w:hint="eastAsia"/>
                <w:color w:val="000000"/>
                <w:sz w:val="20"/>
                <w:szCs w:val="20"/>
              </w:rPr>
            </w:pPr>
            <w:r>
              <w:rPr>
                <w:rFonts w:hint="eastAsia"/>
                <w:color w:val="000000"/>
                <w:sz w:val="20"/>
                <w:szCs w:val="20"/>
              </w:rPr>
              <w:t>　</w:t>
            </w:r>
          </w:p>
        </w:tc>
      </w:tr>
      <w:tr w14:paraId="27E61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80" w:type="dxa"/>
            <w:vMerge w:val="continue"/>
            <w:shd w:val="clear" w:color="auto" w:fill="auto"/>
            <w:noWrap w:val="0"/>
            <w:vAlign w:val="center"/>
          </w:tcPr>
          <w:p w14:paraId="05CC9A8E">
            <w:pPr>
              <w:rPr>
                <w:color w:val="000000"/>
                <w:sz w:val="20"/>
                <w:szCs w:val="20"/>
              </w:rPr>
            </w:pPr>
          </w:p>
        </w:tc>
        <w:tc>
          <w:tcPr>
            <w:tcW w:w="1580" w:type="dxa"/>
            <w:vMerge w:val="continue"/>
            <w:shd w:val="clear" w:color="auto" w:fill="auto"/>
            <w:noWrap w:val="0"/>
            <w:vAlign w:val="center"/>
          </w:tcPr>
          <w:p w14:paraId="70141E94">
            <w:pPr>
              <w:rPr>
                <w:color w:val="000000"/>
                <w:sz w:val="20"/>
                <w:szCs w:val="20"/>
              </w:rPr>
            </w:pPr>
          </w:p>
        </w:tc>
        <w:tc>
          <w:tcPr>
            <w:tcW w:w="4830" w:type="dxa"/>
            <w:shd w:val="clear" w:color="auto" w:fill="auto"/>
            <w:noWrap w:val="0"/>
            <w:vAlign w:val="center"/>
          </w:tcPr>
          <w:p w14:paraId="21F87BAD">
            <w:pPr>
              <w:rPr>
                <w:rFonts w:hint="eastAsia"/>
                <w:color w:val="000000"/>
                <w:sz w:val="20"/>
                <w:szCs w:val="20"/>
              </w:rPr>
            </w:pPr>
            <w:r>
              <w:rPr>
                <w:rFonts w:hint="eastAsia"/>
                <w:color w:val="000000"/>
                <w:sz w:val="20"/>
                <w:szCs w:val="20"/>
              </w:rPr>
              <w:t>5.支持查看设备替换的历史记录(含端口配置迁移记录)；</w:t>
            </w:r>
          </w:p>
        </w:tc>
        <w:tc>
          <w:tcPr>
            <w:tcW w:w="1300" w:type="dxa"/>
            <w:shd w:val="clear" w:color="auto" w:fill="auto"/>
            <w:noWrap/>
            <w:vAlign w:val="center"/>
          </w:tcPr>
          <w:p w14:paraId="23DDE925">
            <w:pPr>
              <w:rPr>
                <w:rFonts w:hint="eastAsia"/>
                <w:color w:val="000000"/>
                <w:sz w:val="20"/>
                <w:szCs w:val="20"/>
              </w:rPr>
            </w:pPr>
            <w:r>
              <w:rPr>
                <w:rFonts w:hint="eastAsia"/>
                <w:color w:val="000000"/>
                <w:sz w:val="20"/>
                <w:szCs w:val="20"/>
              </w:rPr>
              <w:t>　</w:t>
            </w:r>
          </w:p>
        </w:tc>
      </w:tr>
      <w:tr w14:paraId="5C6EF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80" w:type="dxa"/>
            <w:vMerge w:val="continue"/>
            <w:shd w:val="clear" w:color="auto" w:fill="auto"/>
            <w:noWrap w:val="0"/>
            <w:vAlign w:val="center"/>
          </w:tcPr>
          <w:p w14:paraId="3A0D36DE">
            <w:pPr>
              <w:rPr>
                <w:color w:val="000000"/>
                <w:sz w:val="20"/>
                <w:szCs w:val="20"/>
              </w:rPr>
            </w:pPr>
          </w:p>
        </w:tc>
        <w:tc>
          <w:tcPr>
            <w:tcW w:w="1580" w:type="dxa"/>
            <w:vMerge w:val="continue"/>
            <w:shd w:val="clear" w:color="auto" w:fill="auto"/>
            <w:noWrap w:val="0"/>
            <w:vAlign w:val="center"/>
          </w:tcPr>
          <w:p w14:paraId="09B9A399">
            <w:pPr>
              <w:rPr>
                <w:color w:val="000000"/>
                <w:sz w:val="20"/>
                <w:szCs w:val="20"/>
              </w:rPr>
            </w:pPr>
          </w:p>
        </w:tc>
        <w:tc>
          <w:tcPr>
            <w:tcW w:w="4830" w:type="dxa"/>
            <w:shd w:val="clear" w:color="auto" w:fill="auto"/>
            <w:noWrap w:val="0"/>
            <w:vAlign w:val="center"/>
          </w:tcPr>
          <w:p w14:paraId="60DF4588">
            <w:pPr>
              <w:rPr>
                <w:rFonts w:hint="eastAsia"/>
                <w:color w:val="000000"/>
                <w:sz w:val="20"/>
                <w:szCs w:val="20"/>
              </w:rPr>
            </w:pPr>
            <w:r>
              <w:rPr>
                <w:rFonts w:hint="eastAsia"/>
                <w:color w:val="000000"/>
                <w:sz w:val="20"/>
                <w:szCs w:val="20"/>
              </w:rPr>
              <w:t>6.支持光模块与光链路运维检测与故障告警，并可在拓扑中呈现并查看详细信息，包括提供告警原因分析与处理建议；</w:t>
            </w:r>
          </w:p>
        </w:tc>
        <w:tc>
          <w:tcPr>
            <w:tcW w:w="1300" w:type="dxa"/>
            <w:shd w:val="clear" w:color="auto" w:fill="auto"/>
            <w:noWrap/>
            <w:vAlign w:val="center"/>
          </w:tcPr>
          <w:p w14:paraId="47E9A3DB">
            <w:pPr>
              <w:rPr>
                <w:rFonts w:hint="eastAsia"/>
                <w:color w:val="000000"/>
                <w:sz w:val="20"/>
                <w:szCs w:val="20"/>
              </w:rPr>
            </w:pPr>
            <w:r>
              <w:rPr>
                <w:rFonts w:hint="eastAsia"/>
                <w:color w:val="000000"/>
                <w:sz w:val="20"/>
                <w:szCs w:val="20"/>
              </w:rPr>
              <w:t>　</w:t>
            </w:r>
          </w:p>
        </w:tc>
      </w:tr>
      <w:tr w14:paraId="1828F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80" w:type="dxa"/>
            <w:vMerge w:val="continue"/>
            <w:shd w:val="clear" w:color="auto" w:fill="auto"/>
            <w:noWrap w:val="0"/>
            <w:vAlign w:val="center"/>
          </w:tcPr>
          <w:p w14:paraId="7B16C693">
            <w:pPr>
              <w:rPr>
                <w:color w:val="000000"/>
                <w:sz w:val="20"/>
                <w:szCs w:val="20"/>
              </w:rPr>
            </w:pPr>
          </w:p>
        </w:tc>
        <w:tc>
          <w:tcPr>
            <w:tcW w:w="1580" w:type="dxa"/>
            <w:vMerge w:val="continue"/>
            <w:shd w:val="clear" w:color="auto" w:fill="auto"/>
            <w:noWrap w:val="0"/>
            <w:vAlign w:val="center"/>
          </w:tcPr>
          <w:p w14:paraId="709A6BEE">
            <w:pPr>
              <w:rPr>
                <w:color w:val="000000"/>
                <w:sz w:val="20"/>
                <w:szCs w:val="20"/>
              </w:rPr>
            </w:pPr>
          </w:p>
        </w:tc>
        <w:tc>
          <w:tcPr>
            <w:tcW w:w="4830" w:type="dxa"/>
            <w:shd w:val="clear" w:color="auto" w:fill="auto"/>
            <w:noWrap w:val="0"/>
            <w:vAlign w:val="center"/>
          </w:tcPr>
          <w:p w14:paraId="4A2B3B54">
            <w:pPr>
              <w:rPr>
                <w:rFonts w:hint="eastAsia"/>
                <w:color w:val="FF0000"/>
                <w:sz w:val="20"/>
                <w:szCs w:val="20"/>
              </w:rPr>
            </w:pPr>
            <w:r>
              <w:rPr>
                <w:rFonts w:hint="eastAsia"/>
                <w:color w:val="FF0000"/>
                <w:sz w:val="20"/>
                <w:szCs w:val="20"/>
              </w:rPr>
              <w:t>▲7.支持在交换机上行链路断开、无法被网管软件发现纳管时，通过手持手机扫码一键拉取链路全部信息，无需逐点排查，快速定位是光模块还是光纤异常，并给出故障诊断及处理意见；</w:t>
            </w:r>
          </w:p>
        </w:tc>
        <w:tc>
          <w:tcPr>
            <w:tcW w:w="1300" w:type="dxa"/>
            <w:shd w:val="clear" w:color="auto" w:fill="auto"/>
            <w:noWrap/>
            <w:vAlign w:val="center"/>
          </w:tcPr>
          <w:p w14:paraId="1A2FD013">
            <w:pPr>
              <w:rPr>
                <w:rFonts w:hint="eastAsia"/>
                <w:color w:val="000000"/>
                <w:sz w:val="20"/>
                <w:szCs w:val="20"/>
              </w:rPr>
            </w:pPr>
            <w:r>
              <w:rPr>
                <w:rFonts w:hint="eastAsia"/>
                <w:color w:val="000000"/>
                <w:sz w:val="20"/>
                <w:szCs w:val="20"/>
              </w:rPr>
              <w:t>　</w:t>
            </w:r>
          </w:p>
        </w:tc>
      </w:tr>
      <w:tr w14:paraId="5F66F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0" w:hRule="atLeast"/>
        </w:trPr>
        <w:tc>
          <w:tcPr>
            <w:tcW w:w="780" w:type="dxa"/>
            <w:vMerge w:val="continue"/>
            <w:shd w:val="clear" w:color="auto" w:fill="auto"/>
            <w:noWrap w:val="0"/>
            <w:vAlign w:val="center"/>
          </w:tcPr>
          <w:p w14:paraId="42320110">
            <w:pPr>
              <w:rPr>
                <w:color w:val="000000"/>
                <w:sz w:val="20"/>
                <w:szCs w:val="20"/>
              </w:rPr>
            </w:pPr>
          </w:p>
        </w:tc>
        <w:tc>
          <w:tcPr>
            <w:tcW w:w="1580" w:type="dxa"/>
            <w:vMerge w:val="continue"/>
            <w:shd w:val="clear" w:color="auto" w:fill="auto"/>
            <w:noWrap w:val="0"/>
            <w:vAlign w:val="center"/>
          </w:tcPr>
          <w:p w14:paraId="7E01104D">
            <w:pPr>
              <w:rPr>
                <w:color w:val="000000"/>
                <w:sz w:val="20"/>
                <w:szCs w:val="20"/>
              </w:rPr>
            </w:pPr>
          </w:p>
        </w:tc>
        <w:tc>
          <w:tcPr>
            <w:tcW w:w="4830" w:type="dxa"/>
            <w:shd w:val="clear" w:color="auto" w:fill="auto"/>
            <w:noWrap w:val="0"/>
            <w:vAlign w:val="center"/>
          </w:tcPr>
          <w:p w14:paraId="108D3CBB">
            <w:pPr>
              <w:rPr>
                <w:rFonts w:hint="eastAsia"/>
                <w:color w:val="FF0000"/>
                <w:sz w:val="20"/>
                <w:szCs w:val="20"/>
              </w:rPr>
            </w:pPr>
            <w:r>
              <w:rPr>
                <w:rFonts w:hint="eastAsia"/>
                <w:color w:val="FF0000"/>
                <w:sz w:val="20"/>
                <w:szCs w:val="20"/>
              </w:rPr>
              <w:t>▲8.支持根据采集的链路上的各设备的指标数据进行分析诊断，从而将源地址与目的地址之间的设备和链路情况诊断出来，诊断结果包括：链路通断、链路好坏(丢包、时延、CRC错包、上下行速率）和设备状态（CPU/内存利用率），并且支持对于有问题的链路或设备给出可能原因和修复建议；</w:t>
            </w:r>
          </w:p>
        </w:tc>
        <w:tc>
          <w:tcPr>
            <w:tcW w:w="1300" w:type="dxa"/>
            <w:shd w:val="clear" w:color="auto" w:fill="auto"/>
            <w:noWrap/>
            <w:vAlign w:val="center"/>
          </w:tcPr>
          <w:p w14:paraId="61190B45">
            <w:pPr>
              <w:rPr>
                <w:rFonts w:hint="eastAsia"/>
                <w:color w:val="000000"/>
                <w:sz w:val="20"/>
                <w:szCs w:val="20"/>
              </w:rPr>
            </w:pPr>
            <w:r>
              <w:rPr>
                <w:rFonts w:hint="eastAsia"/>
                <w:color w:val="000000"/>
                <w:sz w:val="20"/>
                <w:szCs w:val="20"/>
              </w:rPr>
              <w:t>　</w:t>
            </w:r>
          </w:p>
        </w:tc>
      </w:tr>
      <w:tr w14:paraId="73166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80" w:type="dxa"/>
            <w:vMerge w:val="continue"/>
            <w:shd w:val="clear" w:color="auto" w:fill="auto"/>
            <w:noWrap w:val="0"/>
            <w:vAlign w:val="center"/>
          </w:tcPr>
          <w:p w14:paraId="0CC04918">
            <w:pPr>
              <w:rPr>
                <w:color w:val="000000"/>
                <w:sz w:val="20"/>
                <w:szCs w:val="20"/>
              </w:rPr>
            </w:pPr>
          </w:p>
        </w:tc>
        <w:tc>
          <w:tcPr>
            <w:tcW w:w="1580" w:type="dxa"/>
            <w:vMerge w:val="continue"/>
            <w:shd w:val="clear" w:color="auto" w:fill="auto"/>
            <w:noWrap w:val="0"/>
            <w:vAlign w:val="center"/>
          </w:tcPr>
          <w:p w14:paraId="7D7849E3">
            <w:pPr>
              <w:rPr>
                <w:color w:val="000000"/>
                <w:sz w:val="20"/>
                <w:szCs w:val="20"/>
              </w:rPr>
            </w:pPr>
          </w:p>
        </w:tc>
        <w:tc>
          <w:tcPr>
            <w:tcW w:w="4830" w:type="dxa"/>
            <w:shd w:val="clear" w:color="auto" w:fill="auto"/>
            <w:noWrap w:val="0"/>
            <w:vAlign w:val="center"/>
          </w:tcPr>
          <w:p w14:paraId="4D02D427">
            <w:pPr>
              <w:rPr>
                <w:rFonts w:hint="eastAsia"/>
                <w:color w:val="000000"/>
                <w:sz w:val="20"/>
                <w:szCs w:val="20"/>
              </w:rPr>
            </w:pPr>
            <w:r>
              <w:rPr>
                <w:rFonts w:hint="eastAsia"/>
                <w:color w:val="000000"/>
                <w:sz w:val="20"/>
                <w:szCs w:val="20"/>
              </w:rPr>
              <w:t>9.支持运维人员能够将端到端链路可视化和诊断过程和结果数据导出来形成故障报告；</w:t>
            </w:r>
          </w:p>
        </w:tc>
        <w:tc>
          <w:tcPr>
            <w:tcW w:w="1300" w:type="dxa"/>
            <w:shd w:val="clear" w:color="auto" w:fill="auto"/>
            <w:noWrap/>
            <w:vAlign w:val="center"/>
          </w:tcPr>
          <w:p w14:paraId="11C4A000">
            <w:pPr>
              <w:rPr>
                <w:rFonts w:hint="eastAsia"/>
                <w:color w:val="000000"/>
                <w:sz w:val="20"/>
                <w:szCs w:val="20"/>
              </w:rPr>
            </w:pPr>
            <w:r>
              <w:rPr>
                <w:rFonts w:hint="eastAsia"/>
                <w:color w:val="000000"/>
                <w:sz w:val="20"/>
                <w:szCs w:val="20"/>
              </w:rPr>
              <w:t>　</w:t>
            </w:r>
          </w:p>
        </w:tc>
      </w:tr>
      <w:tr w14:paraId="70325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80" w:type="dxa"/>
            <w:vMerge w:val="continue"/>
            <w:shd w:val="clear" w:color="auto" w:fill="auto"/>
            <w:noWrap w:val="0"/>
            <w:vAlign w:val="center"/>
          </w:tcPr>
          <w:p w14:paraId="56D58437">
            <w:pPr>
              <w:rPr>
                <w:color w:val="000000"/>
                <w:sz w:val="20"/>
                <w:szCs w:val="20"/>
              </w:rPr>
            </w:pPr>
          </w:p>
        </w:tc>
        <w:tc>
          <w:tcPr>
            <w:tcW w:w="1580" w:type="dxa"/>
            <w:vMerge w:val="continue"/>
            <w:shd w:val="clear" w:color="auto" w:fill="auto"/>
            <w:noWrap w:val="0"/>
            <w:vAlign w:val="center"/>
          </w:tcPr>
          <w:p w14:paraId="281A274E">
            <w:pPr>
              <w:rPr>
                <w:color w:val="000000"/>
                <w:sz w:val="20"/>
                <w:szCs w:val="20"/>
              </w:rPr>
            </w:pPr>
          </w:p>
        </w:tc>
        <w:tc>
          <w:tcPr>
            <w:tcW w:w="4830" w:type="dxa"/>
            <w:shd w:val="clear" w:color="auto" w:fill="auto"/>
            <w:noWrap w:val="0"/>
            <w:vAlign w:val="center"/>
          </w:tcPr>
          <w:p w14:paraId="24B64A2A">
            <w:pPr>
              <w:rPr>
                <w:rFonts w:hint="eastAsia"/>
                <w:color w:val="000000"/>
                <w:sz w:val="20"/>
                <w:szCs w:val="20"/>
              </w:rPr>
            </w:pPr>
            <w:r>
              <w:rPr>
                <w:rFonts w:hint="eastAsia"/>
                <w:color w:val="000000"/>
                <w:sz w:val="20"/>
                <w:szCs w:val="20"/>
              </w:rPr>
              <w:t>10.支持光链路状态周期巡检、手动巡检；支持单台设备光链路状态检测；支持光链路预警阈值设置；</w:t>
            </w:r>
          </w:p>
        </w:tc>
        <w:tc>
          <w:tcPr>
            <w:tcW w:w="1300" w:type="dxa"/>
            <w:shd w:val="clear" w:color="auto" w:fill="auto"/>
            <w:noWrap/>
            <w:vAlign w:val="center"/>
          </w:tcPr>
          <w:p w14:paraId="71D7EFBE">
            <w:pPr>
              <w:rPr>
                <w:rFonts w:hint="eastAsia"/>
                <w:color w:val="000000"/>
                <w:sz w:val="20"/>
                <w:szCs w:val="20"/>
              </w:rPr>
            </w:pPr>
            <w:r>
              <w:rPr>
                <w:rFonts w:hint="eastAsia"/>
                <w:color w:val="000000"/>
                <w:sz w:val="20"/>
                <w:szCs w:val="20"/>
              </w:rPr>
              <w:t>　</w:t>
            </w:r>
          </w:p>
        </w:tc>
      </w:tr>
      <w:tr w14:paraId="72504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0" w:type="dxa"/>
            <w:vMerge w:val="continue"/>
            <w:shd w:val="clear" w:color="auto" w:fill="auto"/>
            <w:noWrap w:val="0"/>
            <w:vAlign w:val="center"/>
          </w:tcPr>
          <w:p w14:paraId="380DB00D">
            <w:pPr>
              <w:rPr>
                <w:color w:val="000000"/>
                <w:sz w:val="20"/>
                <w:szCs w:val="20"/>
              </w:rPr>
            </w:pPr>
          </w:p>
        </w:tc>
        <w:tc>
          <w:tcPr>
            <w:tcW w:w="1580" w:type="dxa"/>
            <w:vMerge w:val="continue"/>
            <w:shd w:val="clear" w:color="auto" w:fill="auto"/>
            <w:noWrap w:val="0"/>
            <w:vAlign w:val="center"/>
          </w:tcPr>
          <w:p w14:paraId="08156878">
            <w:pPr>
              <w:rPr>
                <w:color w:val="000000"/>
                <w:sz w:val="20"/>
                <w:szCs w:val="20"/>
              </w:rPr>
            </w:pPr>
          </w:p>
        </w:tc>
        <w:tc>
          <w:tcPr>
            <w:tcW w:w="4830" w:type="dxa"/>
            <w:shd w:val="clear" w:color="auto" w:fill="auto"/>
            <w:noWrap w:val="0"/>
            <w:vAlign w:val="center"/>
          </w:tcPr>
          <w:p w14:paraId="5686EFEC">
            <w:pPr>
              <w:rPr>
                <w:rFonts w:hint="eastAsia"/>
                <w:color w:val="000000"/>
                <w:sz w:val="20"/>
                <w:szCs w:val="20"/>
              </w:rPr>
            </w:pPr>
            <w:r>
              <w:rPr>
                <w:rFonts w:hint="eastAsia"/>
                <w:color w:val="000000"/>
                <w:sz w:val="20"/>
                <w:szCs w:val="20"/>
              </w:rPr>
              <w:t>11.支持定期检测关键链路连通性；</w:t>
            </w:r>
          </w:p>
        </w:tc>
        <w:tc>
          <w:tcPr>
            <w:tcW w:w="1300" w:type="dxa"/>
            <w:shd w:val="clear" w:color="auto" w:fill="auto"/>
            <w:noWrap/>
            <w:vAlign w:val="center"/>
          </w:tcPr>
          <w:p w14:paraId="733A19C4">
            <w:pPr>
              <w:rPr>
                <w:rFonts w:hint="eastAsia"/>
                <w:color w:val="000000"/>
                <w:sz w:val="20"/>
                <w:szCs w:val="20"/>
              </w:rPr>
            </w:pPr>
            <w:r>
              <w:rPr>
                <w:rFonts w:hint="eastAsia"/>
                <w:color w:val="000000"/>
                <w:sz w:val="20"/>
                <w:szCs w:val="20"/>
              </w:rPr>
              <w:t>　</w:t>
            </w:r>
          </w:p>
        </w:tc>
      </w:tr>
      <w:tr w14:paraId="783F4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0" w:type="dxa"/>
            <w:vMerge w:val="continue"/>
            <w:shd w:val="clear" w:color="auto" w:fill="auto"/>
            <w:noWrap w:val="0"/>
            <w:vAlign w:val="center"/>
          </w:tcPr>
          <w:p w14:paraId="2B7F440C">
            <w:pPr>
              <w:rPr>
                <w:color w:val="000000"/>
                <w:sz w:val="20"/>
                <w:szCs w:val="20"/>
              </w:rPr>
            </w:pPr>
          </w:p>
        </w:tc>
        <w:tc>
          <w:tcPr>
            <w:tcW w:w="1580" w:type="dxa"/>
            <w:vMerge w:val="continue"/>
            <w:shd w:val="clear" w:color="auto" w:fill="auto"/>
            <w:noWrap w:val="0"/>
            <w:vAlign w:val="center"/>
          </w:tcPr>
          <w:p w14:paraId="099120F8">
            <w:pPr>
              <w:rPr>
                <w:color w:val="000000"/>
                <w:sz w:val="20"/>
                <w:szCs w:val="20"/>
              </w:rPr>
            </w:pPr>
          </w:p>
        </w:tc>
        <w:tc>
          <w:tcPr>
            <w:tcW w:w="4830" w:type="dxa"/>
            <w:shd w:val="clear" w:color="auto" w:fill="auto"/>
            <w:noWrap w:val="0"/>
            <w:vAlign w:val="center"/>
          </w:tcPr>
          <w:p w14:paraId="587CDC73">
            <w:pPr>
              <w:rPr>
                <w:rFonts w:hint="eastAsia"/>
                <w:color w:val="000000"/>
                <w:sz w:val="20"/>
                <w:szCs w:val="20"/>
              </w:rPr>
            </w:pPr>
            <w:r>
              <w:rPr>
                <w:rFonts w:hint="eastAsia"/>
                <w:color w:val="000000"/>
                <w:sz w:val="20"/>
                <w:szCs w:val="20"/>
              </w:rPr>
              <w:t>12.支持光链路巡检结果导出；</w:t>
            </w:r>
          </w:p>
        </w:tc>
        <w:tc>
          <w:tcPr>
            <w:tcW w:w="1300" w:type="dxa"/>
            <w:shd w:val="clear" w:color="auto" w:fill="auto"/>
            <w:noWrap/>
            <w:vAlign w:val="center"/>
          </w:tcPr>
          <w:p w14:paraId="1A16832A">
            <w:pPr>
              <w:rPr>
                <w:rFonts w:hint="eastAsia"/>
                <w:color w:val="000000"/>
                <w:sz w:val="20"/>
                <w:szCs w:val="20"/>
              </w:rPr>
            </w:pPr>
            <w:r>
              <w:rPr>
                <w:rFonts w:hint="eastAsia"/>
                <w:color w:val="000000"/>
                <w:sz w:val="20"/>
                <w:szCs w:val="20"/>
              </w:rPr>
              <w:t>　</w:t>
            </w:r>
          </w:p>
        </w:tc>
      </w:tr>
      <w:tr w14:paraId="3E246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80" w:type="dxa"/>
            <w:vMerge w:val="continue"/>
            <w:shd w:val="clear" w:color="auto" w:fill="auto"/>
            <w:noWrap w:val="0"/>
            <w:vAlign w:val="center"/>
          </w:tcPr>
          <w:p w14:paraId="14421110">
            <w:pPr>
              <w:rPr>
                <w:color w:val="000000"/>
                <w:sz w:val="20"/>
                <w:szCs w:val="20"/>
              </w:rPr>
            </w:pPr>
          </w:p>
        </w:tc>
        <w:tc>
          <w:tcPr>
            <w:tcW w:w="1580" w:type="dxa"/>
            <w:vMerge w:val="continue"/>
            <w:shd w:val="clear" w:color="auto" w:fill="auto"/>
            <w:noWrap w:val="0"/>
            <w:vAlign w:val="center"/>
          </w:tcPr>
          <w:p w14:paraId="5C5BB8FE">
            <w:pPr>
              <w:rPr>
                <w:color w:val="000000"/>
                <w:sz w:val="20"/>
                <w:szCs w:val="20"/>
              </w:rPr>
            </w:pPr>
          </w:p>
        </w:tc>
        <w:tc>
          <w:tcPr>
            <w:tcW w:w="4830" w:type="dxa"/>
            <w:shd w:val="clear" w:color="auto" w:fill="auto"/>
            <w:noWrap w:val="0"/>
            <w:vAlign w:val="center"/>
          </w:tcPr>
          <w:p w14:paraId="6AD4E114">
            <w:pPr>
              <w:rPr>
                <w:rFonts w:hint="eastAsia"/>
                <w:color w:val="000000"/>
                <w:sz w:val="20"/>
                <w:szCs w:val="20"/>
              </w:rPr>
            </w:pPr>
            <w:r>
              <w:rPr>
                <w:rFonts w:hint="eastAsia"/>
                <w:color w:val="000000"/>
                <w:sz w:val="20"/>
                <w:szCs w:val="20"/>
              </w:rPr>
              <w:t>13.支持光链路诊断，且可以通过微信公众号、企业微信机器人推送光链路告警</w:t>
            </w:r>
          </w:p>
        </w:tc>
        <w:tc>
          <w:tcPr>
            <w:tcW w:w="1300" w:type="dxa"/>
            <w:shd w:val="clear" w:color="auto" w:fill="auto"/>
            <w:noWrap/>
            <w:vAlign w:val="center"/>
          </w:tcPr>
          <w:p w14:paraId="1F3A6524">
            <w:pPr>
              <w:rPr>
                <w:rFonts w:hint="eastAsia"/>
                <w:color w:val="000000"/>
                <w:sz w:val="20"/>
                <w:szCs w:val="20"/>
              </w:rPr>
            </w:pPr>
            <w:r>
              <w:rPr>
                <w:rFonts w:hint="eastAsia"/>
                <w:color w:val="000000"/>
                <w:sz w:val="20"/>
                <w:szCs w:val="20"/>
              </w:rPr>
              <w:t>　</w:t>
            </w:r>
          </w:p>
        </w:tc>
      </w:tr>
      <w:tr w14:paraId="574AB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80" w:type="dxa"/>
            <w:vMerge w:val="continue"/>
            <w:shd w:val="clear" w:color="auto" w:fill="auto"/>
            <w:noWrap w:val="0"/>
            <w:vAlign w:val="center"/>
          </w:tcPr>
          <w:p w14:paraId="5E190EB8">
            <w:pPr>
              <w:rPr>
                <w:color w:val="000000"/>
                <w:sz w:val="20"/>
                <w:szCs w:val="20"/>
              </w:rPr>
            </w:pPr>
          </w:p>
        </w:tc>
        <w:tc>
          <w:tcPr>
            <w:tcW w:w="1580" w:type="dxa"/>
            <w:vMerge w:val="continue"/>
            <w:shd w:val="clear" w:color="auto" w:fill="auto"/>
            <w:noWrap w:val="0"/>
            <w:vAlign w:val="center"/>
          </w:tcPr>
          <w:p w14:paraId="57EEF1E7">
            <w:pPr>
              <w:rPr>
                <w:color w:val="000000"/>
                <w:sz w:val="20"/>
                <w:szCs w:val="20"/>
              </w:rPr>
            </w:pPr>
          </w:p>
        </w:tc>
        <w:tc>
          <w:tcPr>
            <w:tcW w:w="4830" w:type="dxa"/>
            <w:shd w:val="clear" w:color="auto" w:fill="auto"/>
            <w:noWrap w:val="0"/>
            <w:vAlign w:val="center"/>
          </w:tcPr>
          <w:p w14:paraId="140C3512">
            <w:pPr>
              <w:rPr>
                <w:rFonts w:hint="eastAsia"/>
                <w:color w:val="FF0000"/>
                <w:sz w:val="20"/>
                <w:szCs w:val="20"/>
              </w:rPr>
            </w:pPr>
            <w:r>
              <w:rPr>
                <w:rFonts w:hint="eastAsia"/>
                <w:color w:val="FF0000"/>
                <w:sz w:val="20"/>
                <w:szCs w:val="20"/>
              </w:rPr>
              <w:t>▲14.实配20台交换设备(接入+汇聚+核心)管理license，70台无线设备(AP+AC)管理license</w:t>
            </w:r>
          </w:p>
        </w:tc>
        <w:tc>
          <w:tcPr>
            <w:tcW w:w="1300" w:type="dxa"/>
            <w:shd w:val="clear" w:color="auto" w:fill="auto"/>
            <w:noWrap/>
            <w:vAlign w:val="center"/>
          </w:tcPr>
          <w:p w14:paraId="27B93F5B">
            <w:pPr>
              <w:rPr>
                <w:rFonts w:hint="eastAsia"/>
                <w:color w:val="000000"/>
                <w:sz w:val="20"/>
                <w:szCs w:val="20"/>
              </w:rPr>
            </w:pPr>
            <w:r>
              <w:rPr>
                <w:rFonts w:hint="eastAsia"/>
                <w:color w:val="000000"/>
                <w:sz w:val="20"/>
                <w:szCs w:val="20"/>
              </w:rPr>
              <w:t>　</w:t>
            </w:r>
          </w:p>
        </w:tc>
      </w:tr>
      <w:tr w14:paraId="1B30C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0" w:type="dxa"/>
            <w:vMerge w:val="restart"/>
            <w:shd w:val="clear" w:color="auto" w:fill="auto"/>
            <w:noWrap/>
            <w:vAlign w:val="center"/>
          </w:tcPr>
          <w:p w14:paraId="48FB7B71">
            <w:pPr>
              <w:jc w:val="center"/>
              <w:rPr>
                <w:rFonts w:hint="eastAsia"/>
                <w:color w:val="000000"/>
                <w:sz w:val="20"/>
                <w:szCs w:val="20"/>
              </w:rPr>
            </w:pPr>
            <w:r>
              <w:rPr>
                <w:rFonts w:hint="eastAsia"/>
                <w:color w:val="000000"/>
                <w:sz w:val="20"/>
                <w:szCs w:val="20"/>
              </w:rPr>
              <w:t>3</w:t>
            </w:r>
          </w:p>
        </w:tc>
        <w:tc>
          <w:tcPr>
            <w:tcW w:w="1580" w:type="dxa"/>
            <w:vMerge w:val="restart"/>
            <w:shd w:val="clear" w:color="auto" w:fill="auto"/>
            <w:noWrap/>
            <w:vAlign w:val="center"/>
          </w:tcPr>
          <w:p w14:paraId="687D41A5">
            <w:pPr>
              <w:jc w:val="center"/>
              <w:rPr>
                <w:rFonts w:hint="eastAsia"/>
                <w:color w:val="000000"/>
                <w:sz w:val="20"/>
                <w:szCs w:val="20"/>
              </w:rPr>
            </w:pPr>
            <w:r>
              <w:rPr>
                <w:rFonts w:hint="eastAsia"/>
                <w:color w:val="000000"/>
                <w:sz w:val="20"/>
                <w:szCs w:val="20"/>
              </w:rPr>
              <w:t>POE交换机</w:t>
            </w:r>
          </w:p>
        </w:tc>
        <w:tc>
          <w:tcPr>
            <w:tcW w:w="4830" w:type="dxa"/>
            <w:shd w:val="clear" w:color="auto" w:fill="auto"/>
            <w:noWrap w:val="0"/>
            <w:vAlign w:val="center"/>
          </w:tcPr>
          <w:p w14:paraId="53C6CC4D">
            <w:pPr>
              <w:rPr>
                <w:rFonts w:hint="eastAsia"/>
                <w:sz w:val="20"/>
                <w:szCs w:val="20"/>
              </w:rPr>
            </w:pPr>
            <w:r>
              <w:rPr>
                <w:rFonts w:hint="eastAsia"/>
                <w:sz w:val="20"/>
                <w:szCs w:val="20"/>
              </w:rPr>
              <w:t>1.交换容量≥1.36Tbps；</w:t>
            </w:r>
          </w:p>
        </w:tc>
        <w:tc>
          <w:tcPr>
            <w:tcW w:w="1300" w:type="dxa"/>
            <w:shd w:val="clear" w:color="auto" w:fill="auto"/>
            <w:noWrap/>
            <w:vAlign w:val="center"/>
          </w:tcPr>
          <w:p w14:paraId="07E7CE54">
            <w:pPr>
              <w:rPr>
                <w:rFonts w:hint="eastAsia"/>
                <w:color w:val="000000"/>
                <w:sz w:val="20"/>
                <w:szCs w:val="20"/>
              </w:rPr>
            </w:pPr>
            <w:r>
              <w:rPr>
                <w:rFonts w:hint="eastAsia"/>
                <w:color w:val="000000"/>
                <w:sz w:val="20"/>
                <w:szCs w:val="20"/>
              </w:rPr>
              <w:t>　</w:t>
            </w:r>
          </w:p>
        </w:tc>
      </w:tr>
      <w:tr w14:paraId="5C7AF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0" w:type="dxa"/>
            <w:vMerge w:val="continue"/>
            <w:shd w:val="clear" w:color="auto" w:fill="auto"/>
            <w:noWrap w:val="0"/>
            <w:vAlign w:val="center"/>
          </w:tcPr>
          <w:p w14:paraId="710CA358">
            <w:pPr>
              <w:rPr>
                <w:color w:val="000000"/>
                <w:sz w:val="20"/>
                <w:szCs w:val="20"/>
              </w:rPr>
            </w:pPr>
          </w:p>
        </w:tc>
        <w:tc>
          <w:tcPr>
            <w:tcW w:w="1580" w:type="dxa"/>
            <w:vMerge w:val="continue"/>
            <w:shd w:val="clear" w:color="auto" w:fill="auto"/>
            <w:noWrap w:val="0"/>
            <w:vAlign w:val="center"/>
          </w:tcPr>
          <w:p w14:paraId="7A4DC98A">
            <w:pPr>
              <w:rPr>
                <w:color w:val="000000"/>
                <w:sz w:val="20"/>
                <w:szCs w:val="20"/>
              </w:rPr>
            </w:pPr>
          </w:p>
        </w:tc>
        <w:tc>
          <w:tcPr>
            <w:tcW w:w="4830" w:type="dxa"/>
            <w:shd w:val="clear" w:color="auto" w:fill="auto"/>
            <w:noWrap w:val="0"/>
            <w:vAlign w:val="center"/>
          </w:tcPr>
          <w:p w14:paraId="7715A209">
            <w:pPr>
              <w:rPr>
                <w:rFonts w:hint="eastAsia"/>
                <w:color w:val="000000"/>
                <w:sz w:val="20"/>
                <w:szCs w:val="20"/>
              </w:rPr>
            </w:pPr>
            <w:r>
              <w:rPr>
                <w:rFonts w:hint="eastAsia"/>
                <w:color w:val="000000"/>
                <w:sz w:val="20"/>
                <w:szCs w:val="20"/>
              </w:rPr>
              <w:t>2.转发性能≥280Mpps；</w:t>
            </w:r>
          </w:p>
        </w:tc>
        <w:tc>
          <w:tcPr>
            <w:tcW w:w="1300" w:type="dxa"/>
            <w:shd w:val="clear" w:color="auto" w:fill="auto"/>
            <w:noWrap/>
            <w:vAlign w:val="center"/>
          </w:tcPr>
          <w:p w14:paraId="1DE1663E">
            <w:pPr>
              <w:rPr>
                <w:rFonts w:hint="eastAsia"/>
                <w:color w:val="000000"/>
                <w:sz w:val="20"/>
                <w:szCs w:val="20"/>
              </w:rPr>
            </w:pPr>
            <w:r>
              <w:rPr>
                <w:rFonts w:hint="eastAsia"/>
                <w:color w:val="000000"/>
                <w:sz w:val="20"/>
                <w:szCs w:val="20"/>
              </w:rPr>
              <w:t>　</w:t>
            </w:r>
          </w:p>
        </w:tc>
      </w:tr>
      <w:tr w14:paraId="1F3E4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80" w:type="dxa"/>
            <w:vMerge w:val="continue"/>
            <w:shd w:val="clear" w:color="auto" w:fill="auto"/>
            <w:noWrap w:val="0"/>
            <w:vAlign w:val="center"/>
          </w:tcPr>
          <w:p w14:paraId="235C4FEC">
            <w:pPr>
              <w:rPr>
                <w:color w:val="000000"/>
                <w:sz w:val="20"/>
                <w:szCs w:val="20"/>
              </w:rPr>
            </w:pPr>
          </w:p>
        </w:tc>
        <w:tc>
          <w:tcPr>
            <w:tcW w:w="1580" w:type="dxa"/>
            <w:vMerge w:val="continue"/>
            <w:shd w:val="clear" w:color="auto" w:fill="auto"/>
            <w:noWrap w:val="0"/>
            <w:vAlign w:val="center"/>
          </w:tcPr>
          <w:p w14:paraId="3BAA19E5">
            <w:pPr>
              <w:rPr>
                <w:color w:val="000000"/>
                <w:sz w:val="20"/>
                <w:szCs w:val="20"/>
              </w:rPr>
            </w:pPr>
          </w:p>
        </w:tc>
        <w:tc>
          <w:tcPr>
            <w:tcW w:w="4830" w:type="dxa"/>
            <w:shd w:val="clear" w:color="auto" w:fill="auto"/>
            <w:noWrap w:val="0"/>
            <w:vAlign w:val="center"/>
          </w:tcPr>
          <w:p w14:paraId="08EF269D">
            <w:pPr>
              <w:rPr>
                <w:rFonts w:hint="eastAsia"/>
                <w:sz w:val="20"/>
                <w:szCs w:val="20"/>
              </w:rPr>
            </w:pPr>
            <w:r>
              <w:rPr>
                <w:rFonts w:hint="eastAsia"/>
                <w:sz w:val="20"/>
                <w:szCs w:val="20"/>
              </w:rPr>
              <w:t>3.固化10/100/1000M以太网端口≥24，10G/1G SFP+光接口≥4个；</w:t>
            </w:r>
          </w:p>
        </w:tc>
        <w:tc>
          <w:tcPr>
            <w:tcW w:w="1300" w:type="dxa"/>
            <w:shd w:val="clear" w:color="auto" w:fill="auto"/>
            <w:noWrap/>
            <w:vAlign w:val="center"/>
          </w:tcPr>
          <w:p w14:paraId="23C0FA5F">
            <w:pPr>
              <w:rPr>
                <w:rFonts w:hint="eastAsia"/>
                <w:color w:val="000000"/>
                <w:sz w:val="20"/>
                <w:szCs w:val="20"/>
              </w:rPr>
            </w:pPr>
            <w:r>
              <w:rPr>
                <w:rFonts w:hint="eastAsia"/>
                <w:color w:val="000000"/>
                <w:sz w:val="20"/>
                <w:szCs w:val="20"/>
              </w:rPr>
              <w:t>　</w:t>
            </w:r>
          </w:p>
        </w:tc>
      </w:tr>
      <w:tr w14:paraId="7EC8F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80" w:type="dxa"/>
            <w:vMerge w:val="continue"/>
            <w:shd w:val="clear" w:color="auto" w:fill="auto"/>
            <w:noWrap w:val="0"/>
            <w:vAlign w:val="center"/>
          </w:tcPr>
          <w:p w14:paraId="188C4707">
            <w:pPr>
              <w:rPr>
                <w:color w:val="000000"/>
                <w:sz w:val="20"/>
                <w:szCs w:val="20"/>
              </w:rPr>
            </w:pPr>
          </w:p>
        </w:tc>
        <w:tc>
          <w:tcPr>
            <w:tcW w:w="1580" w:type="dxa"/>
            <w:vMerge w:val="continue"/>
            <w:shd w:val="clear" w:color="auto" w:fill="auto"/>
            <w:noWrap w:val="0"/>
            <w:vAlign w:val="center"/>
          </w:tcPr>
          <w:p w14:paraId="42FD939B">
            <w:pPr>
              <w:rPr>
                <w:color w:val="000000"/>
                <w:sz w:val="20"/>
                <w:szCs w:val="20"/>
              </w:rPr>
            </w:pPr>
          </w:p>
        </w:tc>
        <w:tc>
          <w:tcPr>
            <w:tcW w:w="4830" w:type="dxa"/>
            <w:shd w:val="clear" w:color="auto" w:fill="auto"/>
            <w:noWrap w:val="0"/>
            <w:vAlign w:val="center"/>
          </w:tcPr>
          <w:p w14:paraId="0D814209">
            <w:pPr>
              <w:rPr>
                <w:rFonts w:hint="eastAsia"/>
                <w:color w:val="FF0000"/>
                <w:sz w:val="20"/>
                <w:szCs w:val="20"/>
              </w:rPr>
            </w:pPr>
            <w:r>
              <w:rPr>
                <w:rFonts w:hint="eastAsia"/>
                <w:color w:val="FF0000"/>
                <w:sz w:val="20"/>
                <w:szCs w:val="20"/>
              </w:rPr>
              <w:t>▲4.支持并双模块化可热插拔电源，支持配置AC、DC系列不同功率的电源模块，实配1000W交流电源模块*1；</w:t>
            </w:r>
          </w:p>
        </w:tc>
        <w:tc>
          <w:tcPr>
            <w:tcW w:w="1300" w:type="dxa"/>
            <w:shd w:val="clear" w:color="auto" w:fill="auto"/>
            <w:noWrap/>
            <w:vAlign w:val="center"/>
          </w:tcPr>
          <w:p w14:paraId="61B2F06C">
            <w:pPr>
              <w:rPr>
                <w:rFonts w:hint="eastAsia"/>
                <w:color w:val="000000"/>
                <w:sz w:val="20"/>
                <w:szCs w:val="20"/>
              </w:rPr>
            </w:pPr>
            <w:r>
              <w:rPr>
                <w:rFonts w:hint="eastAsia"/>
                <w:color w:val="000000"/>
                <w:sz w:val="20"/>
                <w:szCs w:val="20"/>
              </w:rPr>
              <w:t>　</w:t>
            </w:r>
          </w:p>
        </w:tc>
      </w:tr>
      <w:tr w14:paraId="3277D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80" w:type="dxa"/>
            <w:vMerge w:val="continue"/>
            <w:shd w:val="clear" w:color="auto" w:fill="auto"/>
            <w:noWrap w:val="0"/>
            <w:vAlign w:val="center"/>
          </w:tcPr>
          <w:p w14:paraId="0EF3D9F9">
            <w:pPr>
              <w:rPr>
                <w:color w:val="000000"/>
                <w:sz w:val="20"/>
                <w:szCs w:val="20"/>
              </w:rPr>
            </w:pPr>
          </w:p>
        </w:tc>
        <w:tc>
          <w:tcPr>
            <w:tcW w:w="1580" w:type="dxa"/>
            <w:vMerge w:val="continue"/>
            <w:shd w:val="clear" w:color="auto" w:fill="auto"/>
            <w:noWrap w:val="0"/>
            <w:vAlign w:val="center"/>
          </w:tcPr>
          <w:p w14:paraId="1948DF99">
            <w:pPr>
              <w:rPr>
                <w:color w:val="000000"/>
                <w:sz w:val="20"/>
                <w:szCs w:val="20"/>
              </w:rPr>
            </w:pPr>
          </w:p>
        </w:tc>
        <w:tc>
          <w:tcPr>
            <w:tcW w:w="4830" w:type="dxa"/>
            <w:shd w:val="clear" w:color="auto" w:fill="auto"/>
            <w:noWrap w:val="0"/>
            <w:vAlign w:val="center"/>
          </w:tcPr>
          <w:p w14:paraId="458D2B73">
            <w:pPr>
              <w:rPr>
                <w:rFonts w:hint="eastAsia"/>
                <w:sz w:val="20"/>
                <w:szCs w:val="20"/>
              </w:rPr>
            </w:pPr>
            <w:r>
              <w:rPr>
                <w:rFonts w:hint="eastAsia"/>
                <w:sz w:val="20"/>
                <w:szCs w:val="20"/>
              </w:rPr>
              <w:t>5.支持POE和POE+远程供电，POE+同时可供电端口数≥24个；</w:t>
            </w:r>
          </w:p>
        </w:tc>
        <w:tc>
          <w:tcPr>
            <w:tcW w:w="1300" w:type="dxa"/>
            <w:shd w:val="clear" w:color="auto" w:fill="auto"/>
            <w:noWrap/>
            <w:vAlign w:val="center"/>
          </w:tcPr>
          <w:p w14:paraId="203BF05F">
            <w:pPr>
              <w:rPr>
                <w:rFonts w:hint="eastAsia"/>
                <w:color w:val="000000"/>
                <w:sz w:val="20"/>
                <w:szCs w:val="20"/>
              </w:rPr>
            </w:pPr>
            <w:r>
              <w:rPr>
                <w:rFonts w:hint="eastAsia"/>
                <w:color w:val="000000"/>
                <w:sz w:val="20"/>
                <w:szCs w:val="20"/>
              </w:rPr>
              <w:t>　</w:t>
            </w:r>
          </w:p>
        </w:tc>
      </w:tr>
      <w:tr w14:paraId="446C9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0" w:hRule="atLeast"/>
        </w:trPr>
        <w:tc>
          <w:tcPr>
            <w:tcW w:w="780" w:type="dxa"/>
            <w:vMerge w:val="continue"/>
            <w:shd w:val="clear" w:color="auto" w:fill="auto"/>
            <w:noWrap w:val="0"/>
            <w:vAlign w:val="center"/>
          </w:tcPr>
          <w:p w14:paraId="0830007D">
            <w:pPr>
              <w:rPr>
                <w:color w:val="000000"/>
                <w:sz w:val="20"/>
                <w:szCs w:val="20"/>
              </w:rPr>
            </w:pPr>
          </w:p>
        </w:tc>
        <w:tc>
          <w:tcPr>
            <w:tcW w:w="1580" w:type="dxa"/>
            <w:vMerge w:val="continue"/>
            <w:shd w:val="clear" w:color="auto" w:fill="auto"/>
            <w:noWrap w:val="0"/>
            <w:vAlign w:val="center"/>
          </w:tcPr>
          <w:p w14:paraId="4EEDFCD1">
            <w:pPr>
              <w:rPr>
                <w:color w:val="000000"/>
                <w:sz w:val="20"/>
                <w:szCs w:val="20"/>
              </w:rPr>
            </w:pPr>
          </w:p>
        </w:tc>
        <w:tc>
          <w:tcPr>
            <w:tcW w:w="4830" w:type="dxa"/>
            <w:shd w:val="clear" w:color="auto" w:fill="auto"/>
            <w:noWrap w:val="0"/>
            <w:vAlign w:val="center"/>
          </w:tcPr>
          <w:p w14:paraId="16A75E61">
            <w:pPr>
              <w:rPr>
                <w:rFonts w:hint="eastAsia"/>
                <w:color w:val="FF0000"/>
                <w:sz w:val="20"/>
                <w:szCs w:val="20"/>
              </w:rPr>
            </w:pPr>
            <w:r>
              <w:rPr>
                <w:rFonts w:hint="eastAsia"/>
                <w:color w:val="FF0000"/>
                <w:sz w:val="20"/>
                <w:szCs w:val="20"/>
              </w:rPr>
              <w:t>▲6.产品端口浪涌抗扰度≥10KV，即具备10KV的防雷能力，投标文件需同时提供：①由第三方检测机构出具的具有“CMA”或“CNAS”标识的检测报告复印件，原件备查；②该检测报告在检测机构官网或全国认证认可信息公共服务平台网站（http://cx.cnca.cn/CertECloud/qts/qts/qtsPage）的查询截图）；</w:t>
            </w:r>
          </w:p>
        </w:tc>
        <w:tc>
          <w:tcPr>
            <w:tcW w:w="1300" w:type="dxa"/>
            <w:shd w:val="clear" w:color="auto" w:fill="auto"/>
            <w:noWrap/>
            <w:vAlign w:val="center"/>
          </w:tcPr>
          <w:p w14:paraId="473893B5">
            <w:pPr>
              <w:rPr>
                <w:rFonts w:hint="eastAsia"/>
                <w:color w:val="000000"/>
                <w:sz w:val="20"/>
                <w:szCs w:val="20"/>
              </w:rPr>
            </w:pPr>
            <w:r>
              <w:rPr>
                <w:rFonts w:hint="eastAsia"/>
                <w:color w:val="000000"/>
                <w:sz w:val="20"/>
                <w:szCs w:val="20"/>
              </w:rPr>
              <w:t>　</w:t>
            </w:r>
          </w:p>
        </w:tc>
      </w:tr>
      <w:tr w14:paraId="09154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80" w:type="dxa"/>
            <w:vMerge w:val="continue"/>
            <w:shd w:val="clear" w:color="auto" w:fill="auto"/>
            <w:noWrap w:val="0"/>
            <w:vAlign w:val="center"/>
          </w:tcPr>
          <w:p w14:paraId="1071CF02">
            <w:pPr>
              <w:rPr>
                <w:color w:val="000000"/>
                <w:sz w:val="20"/>
                <w:szCs w:val="20"/>
              </w:rPr>
            </w:pPr>
          </w:p>
        </w:tc>
        <w:tc>
          <w:tcPr>
            <w:tcW w:w="1580" w:type="dxa"/>
            <w:vMerge w:val="continue"/>
            <w:shd w:val="clear" w:color="auto" w:fill="auto"/>
            <w:noWrap w:val="0"/>
            <w:vAlign w:val="center"/>
          </w:tcPr>
          <w:p w14:paraId="345FBED3">
            <w:pPr>
              <w:rPr>
                <w:color w:val="000000"/>
                <w:sz w:val="20"/>
                <w:szCs w:val="20"/>
              </w:rPr>
            </w:pPr>
          </w:p>
        </w:tc>
        <w:tc>
          <w:tcPr>
            <w:tcW w:w="4830" w:type="dxa"/>
            <w:shd w:val="clear" w:color="auto" w:fill="auto"/>
            <w:noWrap w:val="0"/>
            <w:vAlign w:val="center"/>
          </w:tcPr>
          <w:p w14:paraId="27748D55">
            <w:pPr>
              <w:rPr>
                <w:rFonts w:hint="eastAsia"/>
                <w:sz w:val="20"/>
                <w:szCs w:val="20"/>
              </w:rPr>
            </w:pPr>
            <w:r>
              <w:rPr>
                <w:rFonts w:hint="eastAsia"/>
                <w:sz w:val="20"/>
                <w:szCs w:val="20"/>
              </w:rPr>
              <w:t>7.支持RIP/RIPng、OSPFv2/OSPFv3等三层路由协议；</w:t>
            </w:r>
          </w:p>
        </w:tc>
        <w:tc>
          <w:tcPr>
            <w:tcW w:w="1300" w:type="dxa"/>
            <w:shd w:val="clear" w:color="auto" w:fill="auto"/>
            <w:noWrap/>
            <w:vAlign w:val="center"/>
          </w:tcPr>
          <w:p w14:paraId="77B211DA">
            <w:pPr>
              <w:rPr>
                <w:rFonts w:hint="eastAsia"/>
                <w:color w:val="000000"/>
                <w:sz w:val="20"/>
                <w:szCs w:val="20"/>
              </w:rPr>
            </w:pPr>
            <w:r>
              <w:rPr>
                <w:rFonts w:hint="eastAsia"/>
                <w:color w:val="000000"/>
                <w:sz w:val="20"/>
                <w:szCs w:val="20"/>
              </w:rPr>
              <w:t>　</w:t>
            </w:r>
          </w:p>
        </w:tc>
      </w:tr>
      <w:tr w14:paraId="0BF3E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0" w:type="dxa"/>
            <w:vMerge w:val="continue"/>
            <w:shd w:val="clear" w:color="auto" w:fill="auto"/>
            <w:noWrap w:val="0"/>
            <w:vAlign w:val="center"/>
          </w:tcPr>
          <w:p w14:paraId="6C197B62">
            <w:pPr>
              <w:rPr>
                <w:color w:val="000000"/>
                <w:sz w:val="20"/>
                <w:szCs w:val="20"/>
              </w:rPr>
            </w:pPr>
          </w:p>
        </w:tc>
        <w:tc>
          <w:tcPr>
            <w:tcW w:w="1580" w:type="dxa"/>
            <w:vMerge w:val="continue"/>
            <w:shd w:val="clear" w:color="auto" w:fill="auto"/>
            <w:noWrap w:val="0"/>
            <w:vAlign w:val="center"/>
          </w:tcPr>
          <w:p w14:paraId="25FAA871">
            <w:pPr>
              <w:rPr>
                <w:color w:val="000000"/>
                <w:sz w:val="20"/>
                <w:szCs w:val="20"/>
              </w:rPr>
            </w:pPr>
          </w:p>
        </w:tc>
        <w:tc>
          <w:tcPr>
            <w:tcW w:w="4830" w:type="dxa"/>
            <w:shd w:val="clear" w:color="auto" w:fill="auto"/>
            <w:noWrap w:val="0"/>
            <w:vAlign w:val="center"/>
          </w:tcPr>
          <w:p w14:paraId="586BA8E4">
            <w:pPr>
              <w:rPr>
                <w:rFonts w:hint="eastAsia"/>
                <w:sz w:val="20"/>
                <w:szCs w:val="20"/>
              </w:rPr>
            </w:pPr>
            <w:r>
              <w:rPr>
                <w:rFonts w:hint="eastAsia"/>
                <w:sz w:val="20"/>
                <w:szCs w:val="20"/>
              </w:rPr>
              <w:t>8.支持SAVI功能，可防止地址解析欺骗；</w:t>
            </w:r>
          </w:p>
        </w:tc>
        <w:tc>
          <w:tcPr>
            <w:tcW w:w="1300" w:type="dxa"/>
            <w:shd w:val="clear" w:color="auto" w:fill="auto"/>
            <w:noWrap/>
            <w:vAlign w:val="center"/>
          </w:tcPr>
          <w:p w14:paraId="64A21A45">
            <w:pPr>
              <w:rPr>
                <w:rFonts w:hint="eastAsia"/>
                <w:color w:val="000000"/>
                <w:sz w:val="20"/>
                <w:szCs w:val="20"/>
              </w:rPr>
            </w:pPr>
            <w:r>
              <w:rPr>
                <w:rFonts w:hint="eastAsia"/>
                <w:color w:val="000000"/>
                <w:sz w:val="20"/>
                <w:szCs w:val="20"/>
              </w:rPr>
              <w:t>　</w:t>
            </w:r>
          </w:p>
        </w:tc>
      </w:tr>
      <w:tr w14:paraId="512B6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80" w:type="dxa"/>
            <w:vMerge w:val="continue"/>
            <w:shd w:val="clear" w:color="auto" w:fill="auto"/>
            <w:noWrap w:val="0"/>
            <w:vAlign w:val="center"/>
          </w:tcPr>
          <w:p w14:paraId="50500689">
            <w:pPr>
              <w:rPr>
                <w:color w:val="000000"/>
                <w:sz w:val="20"/>
                <w:szCs w:val="20"/>
              </w:rPr>
            </w:pPr>
          </w:p>
        </w:tc>
        <w:tc>
          <w:tcPr>
            <w:tcW w:w="1580" w:type="dxa"/>
            <w:vMerge w:val="continue"/>
            <w:shd w:val="clear" w:color="auto" w:fill="auto"/>
            <w:noWrap w:val="0"/>
            <w:vAlign w:val="center"/>
          </w:tcPr>
          <w:p w14:paraId="1D021427">
            <w:pPr>
              <w:rPr>
                <w:color w:val="000000"/>
                <w:sz w:val="20"/>
                <w:szCs w:val="20"/>
              </w:rPr>
            </w:pPr>
          </w:p>
        </w:tc>
        <w:tc>
          <w:tcPr>
            <w:tcW w:w="4830" w:type="dxa"/>
            <w:shd w:val="clear" w:color="auto" w:fill="auto"/>
            <w:noWrap w:val="0"/>
            <w:vAlign w:val="center"/>
          </w:tcPr>
          <w:p w14:paraId="768BE546">
            <w:pPr>
              <w:rPr>
                <w:rFonts w:hint="eastAsia"/>
                <w:sz w:val="20"/>
                <w:szCs w:val="20"/>
              </w:rPr>
            </w:pPr>
            <w:r>
              <w:rPr>
                <w:rFonts w:hint="eastAsia"/>
                <w:sz w:val="20"/>
                <w:szCs w:val="20"/>
              </w:rPr>
              <w:t>9.支持CPU保护功能，支持限制非法报文对CPU的攻击，保护交换机在各种环境下稳定工作；</w:t>
            </w:r>
          </w:p>
        </w:tc>
        <w:tc>
          <w:tcPr>
            <w:tcW w:w="1300" w:type="dxa"/>
            <w:shd w:val="clear" w:color="auto" w:fill="auto"/>
            <w:noWrap/>
            <w:vAlign w:val="center"/>
          </w:tcPr>
          <w:p w14:paraId="033E245F">
            <w:pPr>
              <w:rPr>
                <w:rFonts w:hint="eastAsia"/>
                <w:color w:val="000000"/>
                <w:sz w:val="20"/>
                <w:szCs w:val="20"/>
              </w:rPr>
            </w:pPr>
            <w:r>
              <w:rPr>
                <w:rFonts w:hint="eastAsia"/>
                <w:color w:val="000000"/>
                <w:sz w:val="20"/>
                <w:szCs w:val="20"/>
              </w:rPr>
              <w:t>　</w:t>
            </w:r>
          </w:p>
        </w:tc>
      </w:tr>
      <w:tr w14:paraId="1B801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0" w:hRule="atLeast"/>
        </w:trPr>
        <w:tc>
          <w:tcPr>
            <w:tcW w:w="780" w:type="dxa"/>
            <w:vMerge w:val="continue"/>
            <w:shd w:val="clear" w:color="auto" w:fill="auto"/>
            <w:noWrap w:val="0"/>
            <w:vAlign w:val="center"/>
          </w:tcPr>
          <w:p w14:paraId="13FC8A64">
            <w:pPr>
              <w:rPr>
                <w:color w:val="000000"/>
                <w:sz w:val="20"/>
                <w:szCs w:val="20"/>
              </w:rPr>
            </w:pPr>
          </w:p>
        </w:tc>
        <w:tc>
          <w:tcPr>
            <w:tcW w:w="1580" w:type="dxa"/>
            <w:vMerge w:val="continue"/>
            <w:shd w:val="clear" w:color="auto" w:fill="auto"/>
            <w:noWrap w:val="0"/>
            <w:vAlign w:val="center"/>
          </w:tcPr>
          <w:p w14:paraId="5E4ADC74">
            <w:pPr>
              <w:rPr>
                <w:color w:val="000000"/>
                <w:sz w:val="20"/>
                <w:szCs w:val="20"/>
              </w:rPr>
            </w:pPr>
          </w:p>
        </w:tc>
        <w:tc>
          <w:tcPr>
            <w:tcW w:w="4830" w:type="dxa"/>
            <w:shd w:val="clear" w:color="auto" w:fill="auto"/>
            <w:noWrap w:val="0"/>
            <w:vAlign w:val="center"/>
          </w:tcPr>
          <w:p w14:paraId="7856F09B">
            <w:pPr>
              <w:rPr>
                <w:rFonts w:hint="eastAsia"/>
                <w:color w:val="FF0000"/>
                <w:sz w:val="20"/>
                <w:szCs w:val="20"/>
              </w:rPr>
            </w:pPr>
            <w:r>
              <w:rPr>
                <w:rFonts w:hint="eastAsia"/>
                <w:color w:val="FF0000"/>
                <w:sz w:val="20"/>
                <w:szCs w:val="20"/>
              </w:rPr>
              <w:t>▲10.支持专门基础网络保护机制，能够限制用户向网络中发送数据包的速率，对有攻击行为的用户进行隔离，保证设备和整网的安全稳定运行；投标文件需同时提供：①由第三方检测机构出具的具有“CMA”或“CNAS”标识的检测报告复印件，原件备查；②该检测报告在检测机构官网或全国认证认可信息公共服务平台网站（http://cx.cnca.cn/CertECloud/qts/qts/qtsPage）的查询截图）；</w:t>
            </w:r>
          </w:p>
        </w:tc>
        <w:tc>
          <w:tcPr>
            <w:tcW w:w="1300" w:type="dxa"/>
            <w:shd w:val="clear" w:color="auto" w:fill="auto"/>
            <w:noWrap/>
            <w:vAlign w:val="center"/>
          </w:tcPr>
          <w:p w14:paraId="60F0B689">
            <w:pPr>
              <w:rPr>
                <w:rFonts w:hint="eastAsia"/>
                <w:color w:val="000000"/>
                <w:sz w:val="20"/>
                <w:szCs w:val="20"/>
              </w:rPr>
            </w:pPr>
            <w:r>
              <w:rPr>
                <w:rFonts w:hint="eastAsia"/>
                <w:color w:val="000000"/>
                <w:sz w:val="20"/>
                <w:szCs w:val="20"/>
              </w:rPr>
              <w:t>　</w:t>
            </w:r>
          </w:p>
        </w:tc>
      </w:tr>
      <w:tr w14:paraId="06D7A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80" w:type="dxa"/>
            <w:vMerge w:val="continue"/>
            <w:shd w:val="clear" w:color="auto" w:fill="auto"/>
            <w:noWrap w:val="0"/>
            <w:vAlign w:val="center"/>
          </w:tcPr>
          <w:p w14:paraId="40F0EEED">
            <w:pPr>
              <w:rPr>
                <w:color w:val="000000"/>
                <w:sz w:val="20"/>
                <w:szCs w:val="20"/>
              </w:rPr>
            </w:pPr>
          </w:p>
        </w:tc>
        <w:tc>
          <w:tcPr>
            <w:tcW w:w="1580" w:type="dxa"/>
            <w:vMerge w:val="continue"/>
            <w:shd w:val="clear" w:color="auto" w:fill="auto"/>
            <w:noWrap w:val="0"/>
            <w:vAlign w:val="center"/>
          </w:tcPr>
          <w:p w14:paraId="6B005F9D">
            <w:pPr>
              <w:rPr>
                <w:color w:val="000000"/>
                <w:sz w:val="20"/>
                <w:szCs w:val="20"/>
              </w:rPr>
            </w:pPr>
          </w:p>
        </w:tc>
        <w:tc>
          <w:tcPr>
            <w:tcW w:w="4830" w:type="dxa"/>
            <w:shd w:val="clear" w:color="auto" w:fill="auto"/>
            <w:noWrap w:val="0"/>
            <w:vAlign w:val="center"/>
          </w:tcPr>
          <w:p w14:paraId="3E645F29">
            <w:pPr>
              <w:rPr>
                <w:rFonts w:hint="eastAsia"/>
                <w:sz w:val="20"/>
                <w:szCs w:val="20"/>
              </w:rPr>
            </w:pPr>
            <w:r>
              <w:rPr>
                <w:rFonts w:hint="eastAsia"/>
                <w:sz w:val="20"/>
                <w:szCs w:val="20"/>
              </w:rPr>
              <w:t>11.支持快速以太网链路检测协议，可快速检测链路的通断和光纤链路的单向性，并支持端口下的环路检测功能；</w:t>
            </w:r>
          </w:p>
        </w:tc>
        <w:tc>
          <w:tcPr>
            <w:tcW w:w="1300" w:type="dxa"/>
            <w:shd w:val="clear" w:color="auto" w:fill="auto"/>
            <w:noWrap/>
            <w:vAlign w:val="center"/>
          </w:tcPr>
          <w:p w14:paraId="054D6D1A">
            <w:pPr>
              <w:rPr>
                <w:rFonts w:hint="eastAsia"/>
                <w:color w:val="000000"/>
                <w:sz w:val="20"/>
                <w:szCs w:val="20"/>
              </w:rPr>
            </w:pPr>
            <w:r>
              <w:rPr>
                <w:rFonts w:hint="eastAsia"/>
                <w:color w:val="000000"/>
                <w:sz w:val="20"/>
                <w:szCs w:val="20"/>
              </w:rPr>
              <w:t>　</w:t>
            </w:r>
          </w:p>
        </w:tc>
      </w:tr>
      <w:tr w14:paraId="6F3E0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80" w:type="dxa"/>
            <w:vMerge w:val="continue"/>
            <w:shd w:val="clear" w:color="auto" w:fill="auto"/>
            <w:noWrap w:val="0"/>
            <w:vAlign w:val="center"/>
          </w:tcPr>
          <w:p w14:paraId="7DF5CFF8">
            <w:pPr>
              <w:rPr>
                <w:color w:val="000000"/>
                <w:sz w:val="20"/>
                <w:szCs w:val="20"/>
              </w:rPr>
            </w:pPr>
          </w:p>
        </w:tc>
        <w:tc>
          <w:tcPr>
            <w:tcW w:w="1580" w:type="dxa"/>
            <w:vMerge w:val="continue"/>
            <w:shd w:val="clear" w:color="auto" w:fill="auto"/>
            <w:noWrap w:val="0"/>
            <w:vAlign w:val="center"/>
          </w:tcPr>
          <w:p w14:paraId="2BA6789A">
            <w:pPr>
              <w:rPr>
                <w:color w:val="000000"/>
                <w:sz w:val="20"/>
                <w:szCs w:val="20"/>
              </w:rPr>
            </w:pPr>
          </w:p>
        </w:tc>
        <w:tc>
          <w:tcPr>
            <w:tcW w:w="4830" w:type="dxa"/>
            <w:shd w:val="clear" w:color="auto" w:fill="auto"/>
            <w:noWrap w:val="0"/>
            <w:vAlign w:val="center"/>
          </w:tcPr>
          <w:p w14:paraId="708AA1D7">
            <w:pPr>
              <w:rPr>
                <w:rFonts w:hint="eastAsia"/>
                <w:sz w:val="20"/>
                <w:szCs w:val="20"/>
              </w:rPr>
            </w:pPr>
            <w:r>
              <w:rPr>
                <w:rFonts w:hint="eastAsia"/>
                <w:sz w:val="20"/>
                <w:szCs w:val="20"/>
              </w:rPr>
              <w:t>12.支持虚拟化功能，即可将多台物理设备虚拟化为一台逻辑设备统一管理，并且链路故障的收敛时间≤50ms；</w:t>
            </w:r>
          </w:p>
        </w:tc>
        <w:tc>
          <w:tcPr>
            <w:tcW w:w="1300" w:type="dxa"/>
            <w:shd w:val="clear" w:color="auto" w:fill="auto"/>
            <w:noWrap/>
            <w:vAlign w:val="center"/>
          </w:tcPr>
          <w:p w14:paraId="51B2CAC8">
            <w:pPr>
              <w:rPr>
                <w:rFonts w:hint="eastAsia"/>
                <w:color w:val="000000"/>
                <w:sz w:val="20"/>
                <w:szCs w:val="20"/>
              </w:rPr>
            </w:pPr>
            <w:r>
              <w:rPr>
                <w:rFonts w:hint="eastAsia"/>
                <w:color w:val="000000"/>
                <w:sz w:val="20"/>
                <w:szCs w:val="20"/>
              </w:rPr>
              <w:t>　</w:t>
            </w:r>
          </w:p>
        </w:tc>
      </w:tr>
      <w:tr w14:paraId="3BEBD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80" w:type="dxa"/>
            <w:vMerge w:val="continue"/>
            <w:shd w:val="clear" w:color="auto" w:fill="auto"/>
            <w:noWrap w:val="0"/>
            <w:vAlign w:val="center"/>
          </w:tcPr>
          <w:p w14:paraId="76CF69CA">
            <w:pPr>
              <w:rPr>
                <w:color w:val="000000"/>
                <w:sz w:val="20"/>
                <w:szCs w:val="20"/>
              </w:rPr>
            </w:pPr>
          </w:p>
        </w:tc>
        <w:tc>
          <w:tcPr>
            <w:tcW w:w="1580" w:type="dxa"/>
            <w:vMerge w:val="continue"/>
            <w:shd w:val="clear" w:color="auto" w:fill="auto"/>
            <w:noWrap w:val="0"/>
            <w:vAlign w:val="center"/>
          </w:tcPr>
          <w:p w14:paraId="635B1399">
            <w:pPr>
              <w:rPr>
                <w:color w:val="000000"/>
                <w:sz w:val="20"/>
                <w:szCs w:val="20"/>
              </w:rPr>
            </w:pPr>
          </w:p>
        </w:tc>
        <w:tc>
          <w:tcPr>
            <w:tcW w:w="4830" w:type="dxa"/>
            <w:shd w:val="clear" w:color="auto" w:fill="auto"/>
            <w:noWrap w:val="0"/>
            <w:vAlign w:val="center"/>
          </w:tcPr>
          <w:p w14:paraId="4D1D3EF6">
            <w:pPr>
              <w:rPr>
                <w:rFonts w:hint="eastAsia"/>
                <w:sz w:val="20"/>
                <w:szCs w:val="20"/>
              </w:rPr>
            </w:pPr>
            <w:r>
              <w:rPr>
                <w:rFonts w:hint="eastAsia"/>
                <w:sz w:val="20"/>
                <w:szCs w:val="20"/>
              </w:rPr>
              <w:t>13.支持SNMP、CLI(Telnet/Console)、RMON、SSH、Syslog、NTP/SNTP、FTP、TFTP、Web。</w:t>
            </w:r>
          </w:p>
        </w:tc>
        <w:tc>
          <w:tcPr>
            <w:tcW w:w="1300" w:type="dxa"/>
            <w:shd w:val="clear" w:color="auto" w:fill="auto"/>
            <w:noWrap/>
            <w:vAlign w:val="center"/>
          </w:tcPr>
          <w:p w14:paraId="4B4C8964">
            <w:pPr>
              <w:rPr>
                <w:rFonts w:hint="eastAsia"/>
                <w:color w:val="000000"/>
                <w:sz w:val="20"/>
                <w:szCs w:val="20"/>
              </w:rPr>
            </w:pPr>
            <w:r>
              <w:rPr>
                <w:rFonts w:hint="eastAsia"/>
                <w:color w:val="000000"/>
                <w:sz w:val="20"/>
                <w:szCs w:val="20"/>
              </w:rPr>
              <w:t>　</w:t>
            </w:r>
          </w:p>
        </w:tc>
      </w:tr>
      <w:tr w14:paraId="21007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80" w:type="dxa"/>
            <w:vMerge w:val="restart"/>
            <w:shd w:val="clear" w:color="auto" w:fill="auto"/>
            <w:noWrap/>
            <w:vAlign w:val="center"/>
          </w:tcPr>
          <w:p w14:paraId="31E4E1D8">
            <w:pPr>
              <w:jc w:val="center"/>
              <w:rPr>
                <w:rFonts w:hint="eastAsia"/>
                <w:color w:val="000000"/>
                <w:sz w:val="20"/>
                <w:szCs w:val="20"/>
              </w:rPr>
            </w:pPr>
            <w:r>
              <w:rPr>
                <w:rFonts w:hint="eastAsia"/>
                <w:color w:val="000000"/>
                <w:sz w:val="20"/>
                <w:szCs w:val="20"/>
              </w:rPr>
              <w:t>4</w:t>
            </w:r>
          </w:p>
        </w:tc>
        <w:tc>
          <w:tcPr>
            <w:tcW w:w="1580" w:type="dxa"/>
            <w:vMerge w:val="restart"/>
            <w:shd w:val="clear" w:color="auto" w:fill="auto"/>
            <w:noWrap/>
            <w:vAlign w:val="center"/>
          </w:tcPr>
          <w:p w14:paraId="4A57800F">
            <w:pPr>
              <w:jc w:val="center"/>
              <w:rPr>
                <w:rFonts w:hint="eastAsia"/>
                <w:color w:val="000000"/>
                <w:sz w:val="20"/>
                <w:szCs w:val="20"/>
              </w:rPr>
            </w:pPr>
            <w:r>
              <w:rPr>
                <w:rFonts w:hint="eastAsia"/>
                <w:color w:val="000000"/>
                <w:sz w:val="20"/>
                <w:szCs w:val="20"/>
              </w:rPr>
              <w:t>吸顶AP</w:t>
            </w:r>
          </w:p>
        </w:tc>
        <w:tc>
          <w:tcPr>
            <w:tcW w:w="4830" w:type="dxa"/>
            <w:shd w:val="clear" w:color="auto" w:fill="auto"/>
            <w:noWrap w:val="0"/>
            <w:vAlign w:val="center"/>
          </w:tcPr>
          <w:p w14:paraId="60B64F67">
            <w:pPr>
              <w:rPr>
                <w:rFonts w:hint="eastAsia"/>
                <w:color w:val="000000"/>
                <w:sz w:val="20"/>
                <w:szCs w:val="20"/>
              </w:rPr>
            </w:pPr>
            <w:r>
              <w:rPr>
                <w:rFonts w:hint="eastAsia"/>
                <w:color w:val="000000"/>
                <w:sz w:val="20"/>
                <w:szCs w:val="20"/>
              </w:rPr>
              <w:t>1.Wi-Fi 7双射频通用级放装型无线接入点，支持802.11be标准，采用双射频设计，整机空间流≥4条；</w:t>
            </w:r>
          </w:p>
        </w:tc>
        <w:tc>
          <w:tcPr>
            <w:tcW w:w="1300" w:type="dxa"/>
            <w:shd w:val="clear" w:color="auto" w:fill="auto"/>
            <w:noWrap/>
            <w:vAlign w:val="center"/>
          </w:tcPr>
          <w:p w14:paraId="1E8F0774">
            <w:pPr>
              <w:rPr>
                <w:rFonts w:hint="eastAsia"/>
                <w:color w:val="000000"/>
                <w:sz w:val="20"/>
                <w:szCs w:val="20"/>
              </w:rPr>
            </w:pPr>
            <w:r>
              <w:rPr>
                <w:rFonts w:hint="eastAsia"/>
                <w:color w:val="000000"/>
                <w:sz w:val="20"/>
                <w:szCs w:val="20"/>
              </w:rPr>
              <w:t>　</w:t>
            </w:r>
          </w:p>
        </w:tc>
      </w:tr>
      <w:tr w14:paraId="4EA08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0" w:type="dxa"/>
            <w:vMerge w:val="continue"/>
            <w:shd w:val="clear" w:color="auto" w:fill="auto"/>
            <w:noWrap w:val="0"/>
            <w:vAlign w:val="center"/>
          </w:tcPr>
          <w:p w14:paraId="500A5902">
            <w:pPr>
              <w:rPr>
                <w:color w:val="000000"/>
                <w:sz w:val="20"/>
                <w:szCs w:val="20"/>
              </w:rPr>
            </w:pPr>
          </w:p>
        </w:tc>
        <w:tc>
          <w:tcPr>
            <w:tcW w:w="1580" w:type="dxa"/>
            <w:vMerge w:val="continue"/>
            <w:shd w:val="clear" w:color="auto" w:fill="auto"/>
            <w:noWrap w:val="0"/>
            <w:vAlign w:val="center"/>
          </w:tcPr>
          <w:p w14:paraId="111275C7">
            <w:pPr>
              <w:rPr>
                <w:color w:val="000000"/>
                <w:sz w:val="20"/>
                <w:szCs w:val="20"/>
              </w:rPr>
            </w:pPr>
          </w:p>
        </w:tc>
        <w:tc>
          <w:tcPr>
            <w:tcW w:w="4830" w:type="dxa"/>
            <w:shd w:val="clear" w:color="auto" w:fill="auto"/>
            <w:noWrap w:val="0"/>
            <w:vAlign w:val="center"/>
          </w:tcPr>
          <w:p w14:paraId="411D18CD">
            <w:pPr>
              <w:rPr>
                <w:rFonts w:hint="eastAsia"/>
                <w:color w:val="000000"/>
                <w:sz w:val="20"/>
                <w:szCs w:val="20"/>
              </w:rPr>
            </w:pPr>
            <w:r>
              <w:rPr>
                <w:rFonts w:hint="eastAsia"/>
                <w:color w:val="000000"/>
                <w:sz w:val="20"/>
                <w:szCs w:val="20"/>
              </w:rPr>
              <w:t>2.整机最大接入速率≥3.57Gbps；</w:t>
            </w:r>
          </w:p>
        </w:tc>
        <w:tc>
          <w:tcPr>
            <w:tcW w:w="1300" w:type="dxa"/>
            <w:shd w:val="clear" w:color="auto" w:fill="auto"/>
            <w:noWrap/>
            <w:vAlign w:val="center"/>
          </w:tcPr>
          <w:p w14:paraId="0DCC47D5">
            <w:pPr>
              <w:rPr>
                <w:rFonts w:hint="eastAsia"/>
                <w:color w:val="000000"/>
                <w:sz w:val="20"/>
                <w:szCs w:val="20"/>
              </w:rPr>
            </w:pPr>
            <w:r>
              <w:rPr>
                <w:rFonts w:hint="eastAsia"/>
                <w:color w:val="000000"/>
                <w:sz w:val="20"/>
                <w:szCs w:val="20"/>
              </w:rPr>
              <w:t>　</w:t>
            </w:r>
          </w:p>
        </w:tc>
      </w:tr>
      <w:tr w14:paraId="3C329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80" w:type="dxa"/>
            <w:vMerge w:val="continue"/>
            <w:shd w:val="clear" w:color="auto" w:fill="auto"/>
            <w:noWrap w:val="0"/>
            <w:vAlign w:val="center"/>
          </w:tcPr>
          <w:p w14:paraId="58F331EE">
            <w:pPr>
              <w:rPr>
                <w:color w:val="000000"/>
                <w:sz w:val="20"/>
                <w:szCs w:val="20"/>
              </w:rPr>
            </w:pPr>
          </w:p>
        </w:tc>
        <w:tc>
          <w:tcPr>
            <w:tcW w:w="1580" w:type="dxa"/>
            <w:vMerge w:val="continue"/>
            <w:shd w:val="clear" w:color="auto" w:fill="auto"/>
            <w:noWrap w:val="0"/>
            <w:vAlign w:val="center"/>
          </w:tcPr>
          <w:p w14:paraId="315D16A6">
            <w:pPr>
              <w:rPr>
                <w:color w:val="000000"/>
                <w:sz w:val="20"/>
                <w:szCs w:val="20"/>
              </w:rPr>
            </w:pPr>
          </w:p>
        </w:tc>
        <w:tc>
          <w:tcPr>
            <w:tcW w:w="4830" w:type="dxa"/>
            <w:shd w:val="clear" w:color="auto" w:fill="auto"/>
            <w:noWrap w:val="0"/>
            <w:vAlign w:val="center"/>
          </w:tcPr>
          <w:p w14:paraId="590D0EC6">
            <w:pPr>
              <w:rPr>
                <w:rFonts w:hint="eastAsia"/>
                <w:color w:val="000000"/>
                <w:sz w:val="20"/>
                <w:szCs w:val="20"/>
              </w:rPr>
            </w:pPr>
            <w:r>
              <w:rPr>
                <w:rFonts w:hint="eastAsia"/>
                <w:color w:val="000000"/>
                <w:sz w:val="20"/>
                <w:szCs w:val="20"/>
              </w:rPr>
              <w:t>3.支持2.5G以太网接口≥1个，支持2.5G光口≥1个；</w:t>
            </w:r>
          </w:p>
        </w:tc>
        <w:tc>
          <w:tcPr>
            <w:tcW w:w="1300" w:type="dxa"/>
            <w:shd w:val="clear" w:color="auto" w:fill="auto"/>
            <w:noWrap/>
            <w:vAlign w:val="center"/>
          </w:tcPr>
          <w:p w14:paraId="3DC01A7C">
            <w:pPr>
              <w:rPr>
                <w:rFonts w:hint="eastAsia"/>
                <w:color w:val="000000"/>
                <w:sz w:val="20"/>
                <w:szCs w:val="20"/>
              </w:rPr>
            </w:pPr>
            <w:r>
              <w:rPr>
                <w:rFonts w:hint="eastAsia"/>
                <w:color w:val="000000"/>
                <w:sz w:val="20"/>
                <w:szCs w:val="20"/>
              </w:rPr>
              <w:t>　</w:t>
            </w:r>
          </w:p>
        </w:tc>
      </w:tr>
      <w:tr w14:paraId="72ADA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0" w:type="dxa"/>
            <w:vMerge w:val="continue"/>
            <w:shd w:val="clear" w:color="auto" w:fill="auto"/>
            <w:noWrap w:val="0"/>
            <w:vAlign w:val="center"/>
          </w:tcPr>
          <w:p w14:paraId="231EDA7C">
            <w:pPr>
              <w:rPr>
                <w:color w:val="000000"/>
                <w:sz w:val="20"/>
                <w:szCs w:val="20"/>
              </w:rPr>
            </w:pPr>
          </w:p>
        </w:tc>
        <w:tc>
          <w:tcPr>
            <w:tcW w:w="1580" w:type="dxa"/>
            <w:vMerge w:val="continue"/>
            <w:shd w:val="clear" w:color="auto" w:fill="auto"/>
            <w:noWrap w:val="0"/>
            <w:vAlign w:val="center"/>
          </w:tcPr>
          <w:p w14:paraId="1A9E8E30">
            <w:pPr>
              <w:rPr>
                <w:color w:val="000000"/>
                <w:sz w:val="20"/>
                <w:szCs w:val="20"/>
              </w:rPr>
            </w:pPr>
          </w:p>
        </w:tc>
        <w:tc>
          <w:tcPr>
            <w:tcW w:w="4830" w:type="dxa"/>
            <w:shd w:val="clear" w:color="auto" w:fill="auto"/>
            <w:noWrap w:val="0"/>
            <w:vAlign w:val="center"/>
          </w:tcPr>
          <w:p w14:paraId="6C34AEBE">
            <w:pPr>
              <w:rPr>
                <w:rFonts w:hint="eastAsia"/>
                <w:color w:val="000000"/>
                <w:sz w:val="20"/>
                <w:szCs w:val="20"/>
              </w:rPr>
            </w:pPr>
            <w:r>
              <w:rPr>
                <w:rFonts w:hint="eastAsia"/>
                <w:color w:val="000000"/>
                <w:sz w:val="20"/>
                <w:szCs w:val="20"/>
              </w:rPr>
              <w:t>4.内置蓝牙5.3；</w:t>
            </w:r>
          </w:p>
        </w:tc>
        <w:tc>
          <w:tcPr>
            <w:tcW w:w="1300" w:type="dxa"/>
            <w:shd w:val="clear" w:color="auto" w:fill="auto"/>
            <w:noWrap/>
            <w:vAlign w:val="center"/>
          </w:tcPr>
          <w:p w14:paraId="1D4C6C33">
            <w:pPr>
              <w:rPr>
                <w:rFonts w:hint="eastAsia"/>
                <w:color w:val="000000"/>
                <w:sz w:val="20"/>
                <w:szCs w:val="20"/>
              </w:rPr>
            </w:pPr>
            <w:r>
              <w:rPr>
                <w:rFonts w:hint="eastAsia"/>
                <w:color w:val="000000"/>
                <w:sz w:val="20"/>
                <w:szCs w:val="20"/>
              </w:rPr>
              <w:t>　</w:t>
            </w:r>
          </w:p>
        </w:tc>
      </w:tr>
      <w:tr w14:paraId="35CBE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80" w:type="dxa"/>
            <w:vMerge w:val="continue"/>
            <w:shd w:val="clear" w:color="auto" w:fill="auto"/>
            <w:noWrap w:val="0"/>
            <w:vAlign w:val="center"/>
          </w:tcPr>
          <w:p w14:paraId="73CEF21D">
            <w:pPr>
              <w:rPr>
                <w:color w:val="000000"/>
                <w:sz w:val="20"/>
                <w:szCs w:val="20"/>
              </w:rPr>
            </w:pPr>
          </w:p>
        </w:tc>
        <w:tc>
          <w:tcPr>
            <w:tcW w:w="1580" w:type="dxa"/>
            <w:vMerge w:val="continue"/>
            <w:shd w:val="clear" w:color="auto" w:fill="auto"/>
            <w:noWrap w:val="0"/>
            <w:vAlign w:val="center"/>
          </w:tcPr>
          <w:p w14:paraId="1922DE36">
            <w:pPr>
              <w:rPr>
                <w:color w:val="000000"/>
                <w:sz w:val="20"/>
                <w:szCs w:val="20"/>
              </w:rPr>
            </w:pPr>
          </w:p>
        </w:tc>
        <w:tc>
          <w:tcPr>
            <w:tcW w:w="4830" w:type="dxa"/>
            <w:shd w:val="clear" w:color="auto" w:fill="auto"/>
            <w:noWrap w:val="0"/>
            <w:vAlign w:val="center"/>
          </w:tcPr>
          <w:p w14:paraId="30E90E97">
            <w:pPr>
              <w:rPr>
                <w:rFonts w:hint="eastAsia"/>
                <w:color w:val="FF0000"/>
                <w:sz w:val="20"/>
                <w:szCs w:val="20"/>
              </w:rPr>
            </w:pPr>
            <w:r>
              <w:rPr>
                <w:rFonts w:hint="eastAsia"/>
                <w:color w:val="FF0000"/>
                <w:sz w:val="20"/>
                <w:szCs w:val="20"/>
              </w:rPr>
              <w:t>▲5.所投AP具有WLAN自动网优功能，不借助任何网络优化软件，仅通过AP配置进行无线网络优化，降低无线网络中的频段干扰；</w:t>
            </w:r>
          </w:p>
        </w:tc>
        <w:tc>
          <w:tcPr>
            <w:tcW w:w="1300" w:type="dxa"/>
            <w:shd w:val="clear" w:color="auto" w:fill="auto"/>
            <w:noWrap/>
            <w:vAlign w:val="center"/>
          </w:tcPr>
          <w:p w14:paraId="19602E7D">
            <w:pPr>
              <w:rPr>
                <w:rFonts w:hint="eastAsia"/>
                <w:color w:val="000000"/>
                <w:sz w:val="20"/>
                <w:szCs w:val="20"/>
              </w:rPr>
            </w:pPr>
            <w:r>
              <w:rPr>
                <w:rFonts w:hint="eastAsia"/>
                <w:color w:val="000000"/>
                <w:sz w:val="20"/>
                <w:szCs w:val="20"/>
              </w:rPr>
              <w:t>　</w:t>
            </w:r>
          </w:p>
        </w:tc>
      </w:tr>
      <w:tr w14:paraId="7687F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80" w:type="dxa"/>
            <w:vMerge w:val="continue"/>
            <w:shd w:val="clear" w:color="auto" w:fill="auto"/>
            <w:noWrap w:val="0"/>
            <w:vAlign w:val="center"/>
          </w:tcPr>
          <w:p w14:paraId="4E278A65">
            <w:pPr>
              <w:rPr>
                <w:color w:val="000000"/>
                <w:sz w:val="20"/>
                <w:szCs w:val="20"/>
              </w:rPr>
            </w:pPr>
          </w:p>
        </w:tc>
        <w:tc>
          <w:tcPr>
            <w:tcW w:w="1580" w:type="dxa"/>
            <w:vMerge w:val="continue"/>
            <w:shd w:val="clear" w:color="auto" w:fill="auto"/>
            <w:noWrap w:val="0"/>
            <w:vAlign w:val="center"/>
          </w:tcPr>
          <w:p w14:paraId="1B706A0D">
            <w:pPr>
              <w:rPr>
                <w:color w:val="000000"/>
                <w:sz w:val="20"/>
                <w:szCs w:val="20"/>
              </w:rPr>
            </w:pPr>
          </w:p>
        </w:tc>
        <w:tc>
          <w:tcPr>
            <w:tcW w:w="4830" w:type="dxa"/>
            <w:shd w:val="clear" w:color="auto" w:fill="auto"/>
            <w:noWrap w:val="0"/>
            <w:vAlign w:val="center"/>
          </w:tcPr>
          <w:p w14:paraId="65B7E4C7">
            <w:pPr>
              <w:rPr>
                <w:rFonts w:hint="eastAsia"/>
                <w:color w:val="000000"/>
                <w:sz w:val="20"/>
                <w:szCs w:val="20"/>
              </w:rPr>
            </w:pPr>
            <w:r>
              <w:rPr>
                <w:rFonts w:hint="eastAsia"/>
                <w:color w:val="000000"/>
                <w:sz w:val="20"/>
                <w:szCs w:val="20"/>
              </w:rPr>
              <w:t>6.支持SSID隐藏，支持为每个SSID配置单独的认证方式、加密机制，VLAN属性；</w:t>
            </w:r>
          </w:p>
        </w:tc>
        <w:tc>
          <w:tcPr>
            <w:tcW w:w="1300" w:type="dxa"/>
            <w:shd w:val="clear" w:color="auto" w:fill="auto"/>
            <w:noWrap/>
            <w:vAlign w:val="center"/>
          </w:tcPr>
          <w:p w14:paraId="135EA898">
            <w:pPr>
              <w:rPr>
                <w:rFonts w:hint="eastAsia"/>
                <w:color w:val="000000"/>
                <w:sz w:val="20"/>
                <w:szCs w:val="20"/>
              </w:rPr>
            </w:pPr>
            <w:r>
              <w:rPr>
                <w:rFonts w:hint="eastAsia"/>
                <w:color w:val="000000"/>
                <w:sz w:val="20"/>
                <w:szCs w:val="20"/>
              </w:rPr>
              <w:t>　</w:t>
            </w:r>
          </w:p>
        </w:tc>
      </w:tr>
      <w:tr w14:paraId="75D9F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0" w:type="dxa"/>
            <w:vMerge w:val="continue"/>
            <w:shd w:val="clear" w:color="auto" w:fill="auto"/>
            <w:noWrap w:val="0"/>
            <w:vAlign w:val="center"/>
          </w:tcPr>
          <w:p w14:paraId="694853CE">
            <w:pPr>
              <w:rPr>
                <w:color w:val="000000"/>
                <w:sz w:val="20"/>
                <w:szCs w:val="20"/>
              </w:rPr>
            </w:pPr>
          </w:p>
        </w:tc>
        <w:tc>
          <w:tcPr>
            <w:tcW w:w="1580" w:type="dxa"/>
            <w:vMerge w:val="continue"/>
            <w:shd w:val="clear" w:color="auto" w:fill="auto"/>
            <w:noWrap w:val="0"/>
            <w:vAlign w:val="center"/>
          </w:tcPr>
          <w:p w14:paraId="0B9C2834">
            <w:pPr>
              <w:rPr>
                <w:color w:val="000000"/>
                <w:sz w:val="20"/>
                <w:szCs w:val="20"/>
              </w:rPr>
            </w:pPr>
          </w:p>
        </w:tc>
        <w:tc>
          <w:tcPr>
            <w:tcW w:w="4830" w:type="dxa"/>
            <w:shd w:val="clear" w:color="auto" w:fill="auto"/>
            <w:noWrap w:val="0"/>
            <w:vAlign w:val="center"/>
          </w:tcPr>
          <w:p w14:paraId="5B21173E">
            <w:pPr>
              <w:rPr>
                <w:rFonts w:hint="eastAsia"/>
                <w:color w:val="000000"/>
                <w:sz w:val="20"/>
                <w:szCs w:val="20"/>
              </w:rPr>
            </w:pPr>
            <w:r>
              <w:rPr>
                <w:rFonts w:hint="eastAsia"/>
                <w:color w:val="000000"/>
                <w:sz w:val="20"/>
                <w:szCs w:val="20"/>
              </w:rPr>
              <w:t>7.支持边缘智能感知（RIPT）；</w:t>
            </w:r>
          </w:p>
        </w:tc>
        <w:tc>
          <w:tcPr>
            <w:tcW w:w="1300" w:type="dxa"/>
            <w:shd w:val="clear" w:color="auto" w:fill="auto"/>
            <w:noWrap/>
            <w:vAlign w:val="center"/>
          </w:tcPr>
          <w:p w14:paraId="3E9ACC78">
            <w:pPr>
              <w:rPr>
                <w:rFonts w:hint="eastAsia"/>
                <w:color w:val="000000"/>
                <w:sz w:val="20"/>
                <w:szCs w:val="20"/>
              </w:rPr>
            </w:pPr>
            <w:r>
              <w:rPr>
                <w:rFonts w:hint="eastAsia"/>
                <w:color w:val="000000"/>
                <w:sz w:val="20"/>
                <w:szCs w:val="20"/>
              </w:rPr>
              <w:t>　</w:t>
            </w:r>
          </w:p>
        </w:tc>
      </w:tr>
      <w:tr w14:paraId="02439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80" w:type="dxa"/>
            <w:vMerge w:val="continue"/>
            <w:shd w:val="clear" w:color="auto" w:fill="auto"/>
            <w:noWrap w:val="0"/>
            <w:vAlign w:val="center"/>
          </w:tcPr>
          <w:p w14:paraId="401EE947">
            <w:pPr>
              <w:rPr>
                <w:color w:val="000000"/>
                <w:sz w:val="20"/>
                <w:szCs w:val="20"/>
              </w:rPr>
            </w:pPr>
          </w:p>
        </w:tc>
        <w:tc>
          <w:tcPr>
            <w:tcW w:w="1580" w:type="dxa"/>
            <w:vMerge w:val="continue"/>
            <w:shd w:val="clear" w:color="auto" w:fill="auto"/>
            <w:noWrap w:val="0"/>
            <w:vAlign w:val="center"/>
          </w:tcPr>
          <w:p w14:paraId="620A5525">
            <w:pPr>
              <w:rPr>
                <w:color w:val="000000"/>
                <w:sz w:val="20"/>
                <w:szCs w:val="20"/>
              </w:rPr>
            </w:pPr>
          </w:p>
        </w:tc>
        <w:tc>
          <w:tcPr>
            <w:tcW w:w="4830" w:type="dxa"/>
            <w:shd w:val="clear" w:color="auto" w:fill="auto"/>
            <w:noWrap w:val="0"/>
            <w:vAlign w:val="center"/>
          </w:tcPr>
          <w:p w14:paraId="6ED5C2AA">
            <w:pPr>
              <w:rPr>
                <w:rFonts w:hint="eastAsia"/>
                <w:color w:val="000000"/>
                <w:sz w:val="20"/>
                <w:szCs w:val="20"/>
              </w:rPr>
            </w:pPr>
            <w:r>
              <w:rPr>
                <w:rFonts w:hint="eastAsia"/>
                <w:color w:val="000000"/>
                <w:sz w:val="20"/>
                <w:szCs w:val="20"/>
              </w:rPr>
              <w:t>8.支持终端智能识别技术，可识别终端类型并上报；</w:t>
            </w:r>
          </w:p>
        </w:tc>
        <w:tc>
          <w:tcPr>
            <w:tcW w:w="1300" w:type="dxa"/>
            <w:shd w:val="clear" w:color="auto" w:fill="auto"/>
            <w:noWrap/>
            <w:vAlign w:val="center"/>
          </w:tcPr>
          <w:p w14:paraId="048C2336">
            <w:pPr>
              <w:rPr>
                <w:rFonts w:hint="eastAsia"/>
                <w:color w:val="000000"/>
                <w:sz w:val="20"/>
                <w:szCs w:val="20"/>
              </w:rPr>
            </w:pPr>
            <w:r>
              <w:rPr>
                <w:rFonts w:hint="eastAsia"/>
                <w:color w:val="000000"/>
                <w:sz w:val="20"/>
                <w:szCs w:val="20"/>
              </w:rPr>
              <w:t>　</w:t>
            </w:r>
          </w:p>
        </w:tc>
      </w:tr>
      <w:tr w14:paraId="223C9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0" w:type="dxa"/>
            <w:vMerge w:val="continue"/>
            <w:shd w:val="clear" w:color="auto" w:fill="auto"/>
            <w:noWrap w:val="0"/>
            <w:vAlign w:val="center"/>
          </w:tcPr>
          <w:p w14:paraId="685159CA">
            <w:pPr>
              <w:rPr>
                <w:color w:val="000000"/>
                <w:sz w:val="20"/>
                <w:szCs w:val="20"/>
              </w:rPr>
            </w:pPr>
          </w:p>
        </w:tc>
        <w:tc>
          <w:tcPr>
            <w:tcW w:w="1580" w:type="dxa"/>
            <w:vMerge w:val="continue"/>
            <w:shd w:val="clear" w:color="auto" w:fill="auto"/>
            <w:noWrap w:val="0"/>
            <w:vAlign w:val="center"/>
          </w:tcPr>
          <w:p w14:paraId="0FD949A0">
            <w:pPr>
              <w:rPr>
                <w:color w:val="000000"/>
                <w:sz w:val="20"/>
                <w:szCs w:val="20"/>
              </w:rPr>
            </w:pPr>
          </w:p>
        </w:tc>
        <w:tc>
          <w:tcPr>
            <w:tcW w:w="4830" w:type="dxa"/>
            <w:shd w:val="clear" w:color="auto" w:fill="auto"/>
            <w:noWrap w:val="0"/>
            <w:vAlign w:val="center"/>
          </w:tcPr>
          <w:p w14:paraId="28547622">
            <w:pPr>
              <w:rPr>
                <w:rFonts w:hint="eastAsia"/>
                <w:color w:val="000000"/>
                <w:sz w:val="20"/>
                <w:szCs w:val="20"/>
              </w:rPr>
            </w:pPr>
            <w:r>
              <w:rPr>
                <w:rFonts w:hint="eastAsia"/>
                <w:color w:val="000000"/>
                <w:sz w:val="20"/>
                <w:szCs w:val="20"/>
              </w:rPr>
              <w:t>9.支持基于SSID、射频卡的接入用户数限制；</w:t>
            </w:r>
          </w:p>
        </w:tc>
        <w:tc>
          <w:tcPr>
            <w:tcW w:w="1300" w:type="dxa"/>
            <w:shd w:val="clear" w:color="auto" w:fill="auto"/>
            <w:noWrap/>
            <w:vAlign w:val="center"/>
          </w:tcPr>
          <w:p w14:paraId="1368795D">
            <w:pPr>
              <w:rPr>
                <w:rFonts w:hint="eastAsia"/>
                <w:color w:val="000000"/>
                <w:sz w:val="20"/>
                <w:szCs w:val="20"/>
              </w:rPr>
            </w:pPr>
            <w:r>
              <w:rPr>
                <w:rFonts w:hint="eastAsia"/>
                <w:color w:val="000000"/>
                <w:sz w:val="20"/>
                <w:szCs w:val="20"/>
              </w:rPr>
              <w:t>　</w:t>
            </w:r>
          </w:p>
        </w:tc>
      </w:tr>
      <w:tr w14:paraId="5417C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80" w:type="dxa"/>
            <w:vMerge w:val="continue"/>
            <w:shd w:val="clear" w:color="auto" w:fill="auto"/>
            <w:noWrap w:val="0"/>
            <w:vAlign w:val="center"/>
          </w:tcPr>
          <w:p w14:paraId="27725C2B">
            <w:pPr>
              <w:rPr>
                <w:color w:val="000000"/>
                <w:sz w:val="20"/>
                <w:szCs w:val="20"/>
              </w:rPr>
            </w:pPr>
          </w:p>
        </w:tc>
        <w:tc>
          <w:tcPr>
            <w:tcW w:w="1580" w:type="dxa"/>
            <w:vMerge w:val="continue"/>
            <w:shd w:val="clear" w:color="auto" w:fill="auto"/>
            <w:noWrap w:val="0"/>
            <w:vAlign w:val="center"/>
          </w:tcPr>
          <w:p w14:paraId="233FD1FB">
            <w:pPr>
              <w:rPr>
                <w:color w:val="000000"/>
                <w:sz w:val="20"/>
                <w:szCs w:val="20"/>
              </w:rPr>
            </w:pPr>
          </w:p>
        </w:tc>
        <w:tc>
          <w:tcPr>
            <w:tcW w:w="4830" w:type="dxa"/>
            <w:shd w:val="clear" w:color="auto" w:fill="auto"/>
            <w:noWrap w:val="0"/>
            <w:vAlign w:val="center"/>
          </w:tcPr>
          <w:p w14:paraId="620CE924">
            <w:pPr>
              <w:rPr>
                <w:rFonts w:hint="eastAsia"/>
                <w:color w:val="000000"/>
                <w:sz w:val="20"/>
                <w:szCs w:val="20"/>
              </w:rPr>
            </w:pPr>
            <w:r>
              <w:rPr>
                <w:rFonts w:hint="eastAsia"/>
                <w:color w:val="000000"/>
                <w:sz w:val="20"/>
                <w:szCs w:val="20"/>
              </w:rPr>
              <w:t>10.支持基于终端数或流量的智能负载均衡，支持基于STA/SSID/AP的限速；</w:t>
            </w:r>
          </w:p>
        </w:tc>
        <w:tc>
          <w:tcPr>
            <w:tcW w:w="1300" w:type="dxa"/>
            <w:shd w:val="clear" w:color="auto" w:fill="auto"/>
            <w:noWrap/>
            <w:vAlign w:val="center"/>
          </w:tcPr>
          <w:p w14:paraId="4ECE01A2">
            <w:pPr>
              <w:rPr>
                <w:rFonts w:hint="eastAsia"/>
                <w:color w:val="000000"/>
                <w:sz w:val="20"/>
                <w:szCs w:val="20"/>
              </w:rPr>
            </w:pPr>
            <w:r>
              <w:rPr>
                <w:rFonts w:hint="eastAsia"/>
                <w:color w:val="000000"/>
                <w:sz w:val="20"/>
                <w:szCs w:val="20"/>
              </w:rPr>
              <w:t>　</w:t>
            </w:r>
          </w:p>
        </w:tc>
      </w:tr>
      <w:tr w14:paraId="06775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0" w:type="dxa"/>
            <w:vMerge w:val="continue"/>
            <w:shd w:val="clear" w:color="auto" w:fill="auto"/>
            <w:noWrap w:val="0"/>
            <w:vAlign w:val="center"/>
          </w:tcPr>
          <w:p w14:paraId="26747E95">
            <w:pPr>
              <w:rPr>
                <w:color w:val="000000"/>
                <w:sz w:val="20"/>
                <w:szCs w:val="20"/>
              </w:rPr>
            </w:pPr>
          </w:p>
        </w:tc>
        <w:tc>
          <w:tcPr>
            <w:tcW w:w="1580" w:type="dxa"/>
            <w:vMerge w:val="continue"/>
            <w:shd w:val="clear" w:color="auto" w:fill="auto"/>
            <w:noWrap w:val="0"/>
            <w:vAlign w:val="center"/>
          </w:tcPr>
          <w:p w14:paraId="17B2489D">
            <w:pPr>
              <w:rPr>
                <w:color w:val="000000"/>
                <w:sz w:val="20"/>
                <w:szCs w:val="20"/>
              </w:rPr>
            </w:pPr>
          </w:p>
        </w:tc>
        <w:tc>
          <w:tcPr>
            <w:tcW w:w="4830" w:type="dxa"/>
            <w:shd w:val="clear" w:color="auto" w:fill="auto"/>
            <w:noWrap w:val="0"/>
            <w:vAlign w:val="center"/>
          </w:tcPr>
          <w:p w14:paraId="5BA79480">
            <w:pPr>
              <w:rPr>
                <w:rFonts w:hint="eastAsia"/>
                <w:color w:val="000000"/>
                <w:sz w:val="20"/>
                <w:szCs w:val="20"/>
              </w:rPr>
            </w:pPr>
            <w:r>
              <w:rPr>
                <w:rFonts w:hint="eastAsia"/>
                <w:color w:val="000000"/>
                <w:sz w:val="20"/>
                <w:szCs w:val="20"/>
              </w:rPr>
              <w:t>11.支持胖模式（云模式）、瘦模式切换；</w:t>
            </w:r>
          </w:p>
        </w:tc>
        <w:tc>
          <w:tcPr>
            <w:tcW w:w="1300" w:type="dxa"/>
            <w:shd w:val="clear" w:color="auto" w:fill="auto"/>
            <w:noWrap/>
            <w:vAlign w:val="center"/>
          </w:tcPr>
          <w:p w14:paraId="7B54F8E4">
            <w:pPr>
              <w:rPr>
                <w:rFonts w:hint="eastAsia"/>
                <w:color w:val="000000"/>
                <w:sz w:val="20"/>
                <w:szCs w:val="20"/>
              </w:rPr>
            </w:pPr>
            <w:r>
              <w:rPr>
                <w:rFonts w:hint="eastAsia"/>
                <w:color w:val="000000"/>
                <w:sz w:val="20"/>
                <w:szCs w:val="20"/>
              </w:rPr>
              <w:t>　</w:t>
            </w:r>
          </w:p>
        </w:tc>
      </w:tr>
      <w:tr w14:paraId="2AE30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80" w:type="dxa"/>
            <w:vMerge w:val="continue"/>
            <w:shd w:val="clear" w:color="auto" w:fill="auto"/>
            <w:noWrap w:val="0"/>
            <w:vAlign w:val="center"/>
          </w:tcPr>
          <w:p w14:paraId="2153DB8A">
            <w:pPr>
              <w:rPr>
                <w:color w:val="000000"/>
                <w:sz w:val="20"/>
                <w:szCs w:val="20"/>
              </w:rPr>
            </w:pPr>
          </w:p>
        </w:tc>
        <w:tc>
          <w:tcPr>
            <w:tcW w:w="1580" w:type="dxa"/>
            <w:vMerge w:val="continue"/>
            <w:shd w:val="clear" w:color="auto" w:fill="auto"/>
            <w:noWrap w:val="0"/>
            <w:vAlign w:val="center"/>
          </w:tcPr>
          <w:p w14:paraId="10145E13">
            <w:pPr>
              <w:rPr>
                <w:color w:val="000000"/>
                <w:sz w:val="20"/>
                <w:szCs w:val="20"/>
              </w:rPr>
            </w:pPr>
          </w:p>
        </w:tc>
        <w:tc>
          <w:tcPr>
            <w:tcW w:w="4830" w:type="dxa"/>
            <w:shd w:val="clear" w:color="auto" w:fill="auto"/>
            <w:noWrap w:val="0"/>
            <w:vAlign w:val="center"/>
          </w:tcPr>
          <w:p w14:paraId="3B71666D">
            <w:pPr>
              <w:rPr>
                <w:rFonts w:hint="eastAsia"/>
                <w:color w:val="000000"/>
                <w:sz w:val="20"/>
                <w:szCs w:val="20"/>
              </w:rPr>
            </w:pPr>
            <w:r>
              <w:rPr>
                <w:rFonts w:hint="eastAsia"/>
                <w:color w:val="000000"/>
                <w:sz w:val="20"/>
                <w:szCs w:val="20"/>
              </w:rPr>
              <w:t>12.所投AP内置探针功能，能够对覆盖范围的终端MAC信息进行检测；</w:t>
            </w:r>
          </w:p>
        </w:tc>
        <w:tc>
          <w:tcPr>
            <w:tcW w:w="1300" w:type="dxa"/>
            <w:shd w:val="clear" w:color="auto" w:fill="auto"/>
            <w:noWrap/>
            <w:vAlign w:val="center"/>
          </w:tcPr>
          <w:p w14:paraId="31F30290">
            <w:pPr>
              <w:rPr>
                <w:rFonts w:hint="eastAsia"/>
                <w:color w:val="000000"/>
                <w:sz w:val="20"/>
                <w:szCs w:val="20"/>
              </w:rPr>
            </w:pPr>
            <w:r>
              <w:rPr>
                <w:rFonts w:hint="eastAsia"/>
                <w:color w:val="000000"/>
                <w:sz w:val="20"/>
                <w:szCs w:val="20"/>
              </w:rPr>
              <w:t>　</w:t>
            </w:r>
          </w:p>
        </w:tc>
      </w:tr>
      <w:tr w14:paraId="325EF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80" w:type="dxa"/>
            <w:vMerge w:val="continue"/>
            <w:shd w:val="clear" w:color="auto" w:fill="auto"/>
            <w:noWrap w:val="0"/>
            <w:vAlign w:val="center"/>
          </w:tcPr>
          <w:p w14:paraId="34597522">
            <w:pPr>
              <w:rPr>
                <w:color w:val="000000"/>
                <w:sz w:val="20"/>
                <w:szCs w:val="20"/>
              </w:rPr>
            </w:pPr>
          </w:p>
        </w:tc>
        <w:tc>
          <w:tcPr>
            <w:tcW w:w="1580" w:type="dxa"/>
            <w:vMerge w:val="continue"/>
            <w:shd w:val="clear" w:color="auto" w:fill="auto"/>
            <w:noWrap w:val="0"/>
            <w:vAlign w:val="center"/>
          </w:tcPr>
          <w:p w14:paraId="3F0B2914">
            <w:pPr>
              <w:rPr>
                <w:color w:val="000000"/>
                <w:sz w:val="20"/>
                <w:szCs w:val="20"/>
              </w:rPr>
            </w:pPr>
          </w:p>
        </w:tc>
        <w:tc>
          <w:tcPr>
            <w:tcW w:w="4830" w:type="dxa"/>
            <w:shd w:val="clear" w:color="auto" w:fill="auto"/>
            <w:noWrap w:val="0"/>
            <w:vAlign w:val="center"/>
          </w:tcPr>
          <w:p w14:paraId="3F488E68">
            <w:pPr>
              <w:rPr>
                <w:rFonts w:hint="eastAsia"/>
                <w:color w:val="FF0000"/>
                <w:sz w:val="20"/>
                <w:szCs w:val="20"/>
              </w:rPr>
            </w:pPr>
            <w:r>
              <w:rPr>
                <w:rFonts w:hint="eastAsia"/>
                <w:color w:val="FF0000"/>
                <w:sz w:val="20"/>
                <w:szCs w:val="20"/>
              </w:rPr>
              <w:t>▲13.为避免无线网络中私接非法AP，所投AP应支持非法AP检测及反制功能。具有非法AP的精确反制和模糊反制功能，能够主动识别非法设备并令非法设备不能使用；</w:t>
            </w:r>
          </w:p>
        </w:tc>
        <w:tc>
          <w:tcPr>
            <w:tcW w:w="1300" w:type="dxa"/>
            <w:shd w:val="clear" w:color="auto" w:fill="auto"/>
            <w:noWrap/>
            <w:vAlign w:val="center"/>
          </w:tcPr>
          <w:p w14:paraId="6520F4A7">
            <w:pPr>
              <w:rPr>
                <w:rFonts w:hint="eastAsia"/>
                <w:color w:val="000000"/>
                <w:sz w:val="20"/>
                <w:szCs w:val="20"/>
              </w:rPr>
            </w:pPr>
            <w:r>
              <w:rPr>
                <w:rFonts w:hint="eastAsia"/>
                <w:color w:val="000000"/>
                <w:sz w:val="20"/>
                <w:szCs w:val="20"/>
              </w:rPr>
              <w:t>　</w:t>
            </w:r>
          </w:p>
        </w:tc>
      </w:tr>
      <w:tr w14:paraId="66E8C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80" w:type="dxa"/>
            <w:vMerge w:val="continue"/>
            <w:shd w:val="clear" w:color="auto" w:fill="auto"/>
            <w:noWrap w:val="0"/>
            <w:vAlign w:val="center"/>
          </w:tcPr>
          <w:p w14:paraId="772746A7">
            <w:pPr>
              <w:rPr>
                <w:color w:val="000000"/>
                <w:sz w:val="20"/>
                <w:szCs w:val="20"/>
              </w:rPr>
            </w:pPr>
          </w:p>
        </w:tc>
        <w:tc>
          <w:tcPr>
            <w:tcW w:w="1580" w:type="dxa"/>
            <w:vMerge w:val="continue"/>
            <w:shd w:val="clear" w:color="auto" w:fill="auto"/>
            <w:noWrap w:val="0"/>
            <w:vAlign w:val="center"/>
          </w:tcPr>
          <w:p w14:paraId="54CFC6CE">
            <w:pPr>
              <w:rPr>
                <w:color w:val="000000"/>
                <w:sz w:val="20"/>
                <w:szCs w:val="20"/>
              </w:rPr>
            </w:pPr>
          </w:p>
        </w:tc>
        <w:tc>
          <w:tcPr>
            <w:tcW w:w="4830" w:type="dxa"/>
            <w:shd w:val="clear" w:color="auto" w:fill="auto"/>
            <w:noWrap w:val="0"/>
            <w:vAlign w:val="center"/>
          </w:tcPr>
          <w:p w14:paraId="5D893D59">
            <w:pPr>
              <w:rPr>
                <w:rFonts w:hint="eastAsia"/>
                <w:color w:val="000000"/>
                <w:sz w:val="20"/>
                <w:szCs w:val="20"/>
              </w:rPr>
            </w:pPr>
            <w:r>
              <w:rPr>
                <w:rFonts w:hint="eastAsia"/>
                <w:color w:val="000000"/>
                <w:sz w:val="20"/>
                <w:szCs w:val="20"/>
              </w:rPr>
              <w:t>14.为避免无线网络中私接非法AP的影响，设备应支持802.11w防御Deauth攻击功能，保证终端正常关联使用；</w:t>
            </w:r>
          </w:p>
        </w:tc>
        <w:tc>
          <w:tcPr>
            <w:tcW w:w="1300" w:type="dxa"/>
            <w:shd w:val="clear" w:color="auto" w:fill="auto"/>
            <w:noWrap/>
            <w:vAlign w:val="center"/>
          </w:tcPr>
          <w:p w14:paraId="279C484E">
            <w:pPr>
              <w:rPr>
                <w:rFonts w:hint="eastAsia"/>
                <w:color w:val="000000"/>
                <w:sz w:val="20"/>
                <w:szCs w:val="20"/>
              </w:rPr>
            </w:pPr>
            <w:r>
              <w:rPr>
                <w:rFonts w:hint="eastAsia"/>
                <w:color w:val="000000"/>
                <w:sz w:val="20"/>
                <w:szCs w:val="20"/>
              </w:rPr>
              <w:t>　</w:t>
            </w:r>
          </w:p>
        </w:tc>
      </w:tr>
      <w:tr w14:paraId="4F87B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80" w:type="dxa"/>
            <w:vMerge w:val="continue"/>
            <w:shd w:val="clear" w:color="auto" w:fill="auto"/>
            <w:noWrap w:val="0"/>
            <w:vAlign w:val="center"/>
          </w:tcPr>
          <w:p w14:paraId="62D149D3">
            <w:pPr>
              <w:rPr>
                <w:color w:val="000000"/>
                <w:sz w:val="20"/>
                <w:szCs w:val="20"/>
              </w:rPr>
            </w:pPr>
          </w:p>
        </w:tc>
        <w:tc>
          <w:tcPr>
            <w:tcW w:w="1580" w:type="dxa"/>
            <w:vMerge w:val="continue"/>
            <w:shd w:val="clear" w:color="auto" w:fill="auto"/>
            <w:noWrap w:val="0"/>
            <w:vAlign w:val="center"/>
          </w:tcPr>
          <w:p w14:paraId="55D7ADC7">
            <w:pPr>
              <w:rPr>
                <w:color w:val="000000"/>
                <w:sz w:val="20"/>
                <w:szCs w:val="20"/>
              </w:rPr>
            </w:pPr>
          </w:p>
        </w:tc>
        <w:tc>
          <w:tcPr>
            <w:tcW w:w="4830" w:type="dxa"/>
            <w:shd w:val="clear" w:color="auto" w:fill="auto"/>
            <w:noWrap w:val="0"/>
            <w:vAlign w:val="center"/>
          </w:tcPr>
          <w:p w14:paraId="56FC92D0">
            <w:pPr>
              <w:rPr>
                <w:rFonts w:hint="eastAsia"/>
                <w:color w:val="000000"/>
                <w:sz w:val="20"/>
                <w:szCs w:val="20"/>
              </w:rPr>
            </w:pPr>
            <w:r>
              <w:rPr>
                <w:rFonts w:hint="eastAsia"/>
                <w:color w:val="000000"/>
                <w:sz w:val="20"/>
                <w:szCs w:val="20"/>
              </w:rPr>
              <w:t>15.数据加密支持WPA（TKIP）、WPA-PSK、WPA2（AES）、WPA3、WEP（64/128位）；</w:t>
            </w:r>
          </w:p>
        </w:tc>
        <w:tc>
          <w:tcPr>
            <w:tcW w:w="1300" w:type="dxa"/>
            <w:shd w:val="clear" w:color="auto" w:fill="auto"/>
            <w:noWrap/>
            <w:vAlign w:val="center"/>
          </w:tcPr>
          <w:p w14:paraId="3A9F95C0">
            <w:pPr>
              <w:rPr>
                <w:rFonts w:hint="eastAsia"/>
                <w:color w:val="000000"/>
                <w:sz w:val="20"/>
                <w:szCs w:val="20"/>
              </w:rPr>
            </w:pPr>
            <w:r>
              <w:rPr>
                <w:rFonts w:hint="eastAsia"/>
                <w:color w:val="000000"/>
                <w:sz w:val="20"/>
                <w:szCs w:val="20"/>
              </w:rPr>
              <w:t>　</w:t>
            </w:r>
          </w:p>
        </w:tc>
      </w:tr>
      <w:tr w14:paraId="158CF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80" w:type="dxa"/>
            <w:vMerge w:val="continue"/>
            <w:shd w:val="clear" w:color="auto" w:fill="auto"/>
            <w:noWrap w:val="0"/>
            <w:vAlign w:val="center"/>
          </w:tcPr>
          <w:p w14:paraId="323893DE">
            <w:pPr>
              <w:rPr>
                <w:color w:val="000000"/>
                <w:sz w:val="20"/>
                <w:szCs w:val="20"/>
              </w:rPr>
            </w:pPr>
          </w:p>
        </w:tc>
        <w:tc>
          <w:tcPr>
            <w:tcW w:w="1580" w:type="dxa"/>
            <w:vMerge w:val="continue"/>
            <w:shd w:val="clear" w:color="auto" w:fill="auto"/>
            <w:noWrap w:val="0"/>
            <w:vAlign w:val="center"/>
          </w:tcPr>
          <w:p w14:paraId="24468EC4">
            <w:pPr>
              <w:rPr>
                <w:color w:val="000000"/>
                <w:sz w:val="20"/>
                <w:szCs w:val="20"/>
              </w:rPr>
            </w:pPr>
          </w:p>
        </w:tc>
        <w:tc>
          <w:tcPr>
            <w:tcW w:w="4830" w:type="dxa"/>
            <w:shd w:val="clear" w:color="auto" w:fill="auto"/>
            <w:noWrap w:val="0"/>
            <w:vAlign w:val="center"/>
          </w:tcPr>
          <w:p w14:paraId="052B407E">
            <w:pPr>
              <w:rPr>
                <w:rFonts w:hint="eastAsia"/>
                <w:color w:val="000000"/>
                <w:sz w:val="20"/>
                <w:szCs w:val="20"/>
              </w:rPr>
            </w:pPr>
            <w:r>
              <w:rPr>
                <w:rFonts w:hint="eastAsia"/>
                <w:color w:val="000000"/>
                <w:sz w:val="20"/>
                <w:szCs w:val="20"/>
              </w:rPr>
              <w:t>16.数据帧过滤支持白名单、静态黑名单、动态黑名单；</w:t>
            </w:r>
          </w:p>
        </w:tc>
        <w:tc>
          <w:tcPr>
            <w:tcW w:w="1300" w:type="dxa"/>
            <w:shd w:val="clear" w:color="auto" w:fill="auto"/>
            <w:noWrap/>
            <w:vAlign w:val="center"/>
          </w:tcPr>
          <w:p w14:paraId="51CD4B56">
            <w:pPr>
              <w:rPr>
                <w:rFonts w:hint="eastAsia"/>
                <w:color w:val="000000"/>
                <w:sz w:val="20"/>
                <w:szCs w:val="20"/>
              </w:rPr>
            </w:pPr>
            <w:r>
              <w:rPr>
                <w:rFonts w:hint="eastAsia"/>
                <w:color w:val="000000"/>
                <w:sz w:val="20"/>
                <w:szCs w:val="20"/>
              </w:rPr>
              <w:t>　</w:t>
            </w:r>
          </w:p>
        </w:tc>
      </w:tr>
      <w:tr w14:paraId="57A1E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0" w:type="dxa"/>
            <w:vMerge w:val="continue"/>
            <w:shd w:val="clear" w:color="auto" w:fill="auto"/>
            <w:noWrap w:val="0"/>
            <w:vAlign w:val="center"/>
          </w:tcPr>
          <w:p w14:paraId="7C0EA13D">
            <w:pPr>
              <w:rPr>
                <w:color w:val="000000"/>
                <w:sz w:val="20"/>
                <w:szCs w:val="20"/>
              </w:rPr>
            </w:pPr>
          </w:p>
        </w:tc>
        <w:tc>
          <w:tcPr>
            <w:tcW w:w="1580" w:type="dxa"/>
            <w:vMerge w:val="continue"/>
            <w:shd w:val="clear" w:color="auto" w:fill="auto"/>
            <w:noWrap w:val="0"/>
            <w:vAlign w:val="center"/>
          </w:tcPr>
          <w:p w14:paraId="31A18929">
            <w:pPr>
              <w:rPr>
                <w:color w:val="000000"/>
                <w:sz w:val="20"/>
                <w:szCs w:val="20"/>
              </w:rPr>
            </w:pPr>
          </w:p>
        </w:tc>
        <w:tc>
          <w:tcPr>
            <w:tcW w:w="4830" w:type="dxa"/>
            <w:shd w:val="clear" w:color="auto" w:fill="auto"/>
            <w:noWrap w:val="0"/>
            <w:vAlign w:val="center"/>
          </w:tcPr>
          <w:p w14:paraId="088C5433">
            <w:pPr>
              <w:rPr>
                <w:rFonts w:hint="eastAsia"/>
                <w:color w:val="000000"/>
                <w:sz w:val="20"/>
                <w:szCs w:val="20"/>
              </w:rPr>
            </w:pPr>
            <w:r>
              <w:rPr>
                <w:rFonts w:hint="eastAsia"/>
                <w:color w:val="000000"/>
                <w:sz w:val="20"/>
                <w:szCs w:val="20"/>
              </w:rPr>
              <w:t>17.支持用户隔离；</w:t>
            </w:r>
          </w:p>
        </w:tc>
        <w:tc>
          <w:tcPr>
            <w:tcW w:w="1300" w:type="dxa"/>
            <w:shd w:val="clear" w:color="auto" w:fill="auto"/>
            <w:noWrap/>
            <w:vAlign w:val="center"/>
          </w:tcPr>
          <w:p w14:paraId="57B87464">
            <w:pPr>
              <w:rPr>
                <w:rFonts w:hint="eastAsia"/>
                <w:color w:val="000000"/>
                <w:sz w:val="20"/>
                <w:szCs w:val="20"/>
              </w:rPr>
            </w:pPr>
            <w:r>
              <w:rPr>
                <w:rFonts w:hint="eastAsia"/>
                <w:color w:val="000000"/>
                <w:sz w:val="20"/>
                <w:szCs w:val="20"/>
              </w:rPr>
              <w:t>　</w:t>
            </w:r>
          </w:p>
        </w:tc>
      </w:tr>
      <w:tr w14:paraId="4DBA2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0" w:type="dxa"/>
            <w:vMerge w:val="continue"/>
            <w:shd w:val="clear" w:color="auto" w:fill="auto"/>
            <w:noWrap w:val="0"/>
            <w:vAlign w:val="center"/>
          </w:tcPr>
          <w:p w14:paraId="2A08CE5D">
            <w:pPr>
              <w:rPr>
                <w:color w:val="000000"/>
                <w:sz w:val="20"/>
                <w:szCs w:val="20"/>
              </w:rPr>
            </w:pPr>
          </w:p>
        </w:tc>
        <w:tc>
          <w:tcPr>
            <w:tcW w:w="1580" w:type="dxa"/>
            <w:vMerge w:val="continue"/>
            <w:shd w:val="clear" w:color="auto" w:fill="auto"/>
            <w:noWrap w:val="0"/>
            <w:vAlign w:val="center"/>
          </w:tcPr>
          <w:p w14:paraId="6BDCE21A">
            <w:pPr>
              <w:rPr>
                <w:color w:val="000000"/>
                <w:sz w:val="20"/>
                <w:szCs w:val="20"/>
              </w:rPr>
            </w:pPr>
          </w:p>
        </w:tc>
        <w:tc>
          <w:tcPr>
            <w:tcW w:w="4830" w:type="dxa"/>
            <w:shd w:val="clear" w:color="auto" w:fill="auto"/>
            <w:noWrap w:val="0"/>
            <w:vAlign w:val="center"/>
          </w:tcPr>
          <w:p w14:paraId="398508B2">
            <w:pPr>
              <w:rPr>
                <w:rFonts w:hint="eastAsia"/>
                <w:color w:val="000000"/>
                <w:sz w:val="20"/>
                <w:szCs w:val="20"/>
              </w:rPr>
            </w:pPr>
            <w:r>
              <w:rPr>
                <w:rFonts w:hint="eastAsia"/>
                <w:color w:val="000000"/>
                <w:sz w:val="20"/>
                <w:szCs w:val="20"/>
              </w:rPr>
              <w:t>18.支持通过Telnet、TFTP管理、Web管理；</w:t>
            </w:r>
          </w:p>
        </w:tc>
        <w:tc>
          <w:tcPr>
            <w:tcW w:w="1300" w:type="dxa"/>
            <w:shd w:val="clear" w:color="auto" w:fill="auto"/>
            <w:noWrap/>
            <w:vAlign w:val="center"/>
          </w:tcPr>
          <w:p w14:paraId="0EEBA56A">
            <w:pPr>
              <w:rPr>
                <w:rFonts w:hint="eastAsia"/>
                <w:color w:val="000000"/>
                <w:sz w:val="20"/>
                <w:szCs w:val="20"/>
              </w:rPr>
            </w:pPr>
            <w:r>
              <w:rPr>
                <w:rFonts w:hint="eastAsia"/>
                <w:color w:val="000000"/>
                <w:sz w:val="20"/>
                <w:szCs w:val="20"/>
              </w:rPr>
              <w:t>　</w:t>
            </w:r>
          </w:p>
        </w:tc>
      </w:tr>
      <w:tr w14:paraId="6DFDE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0" w:type="dxa"/>
            <w:vMerge w:val="continue"/>
            <w:shd w:val="clear" w:color="auto" w:fill="auto"/>
            <w:noWrap w:val="0"/>
            <w:vAlign w:val="center"/>
          </w:tcPr>
          <w:p w14:paraId="0C486721">
            <w:pPr>
              <w:rPr>
                <w:color w:val="000000"/>
                <w:sz w:val="20"/>
                <w:szCs w:val="20"/>
              </w:rPr>
            </w:pPr>
          </w:p>
        </w:tc>
        <w:tc>
          <w:tcPr>
            <w:tcW w:w="1580" w:type="dxa"/>
            <w:vMerge w:val="continue"/>
            <w:shd w:val="clear" w:color="auto" w:fill="auto"/>
            <w:noWrap w:val="0"/>
            <w:vAlign w:val="center"/>
          </w:tcPr>
          <w:p w14:paraId="57BF2E59">
            <w:pPr>
              <w:rPr>
                <w:color w:val="000000"/>
                <w:sz w:val="20"/>
                <w:szCs w:val="20"/>
              </w:rPr>
            </w:pPr>
          </w:p>
        </w:tc>
        <w:tc>
          <w:tcPr>
            <w:tcW w:w="4830" w:type="dxa"/>
            <w:shd w:val="clear" w:color="auto" w:fill="auto"/>
            <w:noWrap w:val="0"/>
            <w:vAlign w:val="center"/>
          </w:tcPr>
          <w:p w14:paraId="73C36F96">
            <w:pPr>
              <w:rPr>
                <w:rFonts w:hint="eastAsia"/>
                <w:color w:val="000000"/>
                <w:sz w:val="20"/>
                <w:szCs w:val="20"/>
              </w:rPr>
            </w:pPr>
            <w:r>
              <w:rPr>
                <w:rFonts w:hint="eastAsia"/>
                <w:color w:val="000000"/>
                <w:sz w:val="20"/>
                <w:szCs w:val="20"/>
              </w:rPr>
              <w:t>19.支持故障检测及报警；</w:t>
            </w:r>
          </w:p>
        </w:tc>
        <w:tc>
          <w:tcPr>
            <w:tcW w:w="1300" w:type="dxa"/>
            <w:shd w:val="clear" w:color="auto" w:fill="auto"/>
            <w:noWrap/>
            <w:vAlign w:val="center"/>
          </w:tcPr>
          <w:p w14:paraId="645E29C3">
            <w:pPr>
              <w:rPr>
                <w:rFonts w:hint="eastAsia"/>
                <w:color w:val="000000"/>
                <w:sz w:val="20"/>
                <w:szCs w:val="20"/>
              </w:rPr>
            </w:pPr>
            <w:r>
              <w:rPr>
                <w:rFonts w:hint="eastAsia"/>
                <w:color w:val="000000"/>
                <w:sz w:val="20"/>
                <w:szCs w:val="20"/>
              </w:rPr>
              <w:t>　</w:t>
            </w:r>
          </w:p>
        </w:tc>
      </w:tr>
      <w:tr w14:paraId="2E4C2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0" w:type="dxa"/>
            <w:vMerge w:val="continue"/>
            <w:shd w:val="clear" w:color="auto" w:fill="auto"/>
            <w:noWrap w:val="0"/>
            <w:vAlign w:val="center"/>
          </w:tcPr>
          <w:p w14:paraId="29E4E958">
            <w:pPr>
              <w:rPr>
                <w:color w:val="000000"/>
                <w:sz w:val="20"/>
                <w:szCs w:val="20"/>
              </w:rPr>
            </w:pPr>
          </w:p>
        </w:tc>
        <w:tc>
          <w:tcPr>
            <w:tcW w:w="1580" w:type="dxa"/>
            <w:vMerge w:val="continue"/>
            <w:shd w:val="clear" w:color="auto" w:fill="auto"/>
            <w:noWrap w:val="0"/>
            <w:vAlign w:val="center"/>
          </w:tcPr>
          <w:p w14:paraId="4EE9233F">
            <w:pPr>
              <w:rPr>
                <w:color w:val="000000"/>
                <w:sz w:val="20"/>
                <w:szCs w:val="20"/>
              </w:rPr>
            </w:pPr>
          </w:p>
        </w:tc>
        <w:tc>
          <w:tcPr>
            <w:tcW w:w="4830" w:type="dxa"/>
            <w:shd w:val="clear" w:color="auto" w:fill="auto"/>
            <w:noWrap w:val="0"/>
            <w:vAlign w:val="center"/>
          </w:tcPr>
          <w:p w14:paraId="57B8EE6D">
            <w:pPr>
              <w:rPr>
                <w:rFonts w:hint="eastAsia"/>
                <w:color w:val="000000"/>
                <w:sz w:val="20"/>
                <w:szCs w:val="20"/>
              </w:rPr>
            </w:pPr>
            <w:r>
              <w:rPr>
                <w:rFonts w:hint="eastAsia"/>
                <w:color w:val="000000"/>
                <w:sz w:val="20"/>
                <w:szCs w:val="20"/>
              </w:rPr>
              <w:t>20.支持信息统计及日志。</w:t>
            </w:r>
          </w:p>
        </w:tc>
        <w:tc>
          <w:tcPr>
            <w:tcW w:w="1300" w:type="dxa"/>
            <w:shd w:val="clear" w:color="auto" w:fill="auto"/>
            <w:noWrap/>
            <w:vAlign w:val="center"/>
          </w:tcPr>
          <w:p w14:paraId="33ED376A">
            <w:pPr>
              <w:rPr>
                <w:rFonts w:hint="eastAsia"/>
                <w:color w:val="000000"/>
                <w:sz w:val="20"/>
                <w:szCs w:val="20"/>
              </w:rPr>
            </w:pPr>
            <w:r>
              <w:rPr>
                <w:rFonts w:hint="eastAsia"/>
                <w:color w:val="000000"/>
                <w:sz w:val="20"/>
                <w:szCs w:val="20"/>
              </w:rPr>
              <w:t>　</w:t>
            </w:r>
          </w:p>
        </w:tc>
      </w:tr>
      <w:tr w14:paraId="5E3C3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80" w:type="dxa"/>
            <w:vMerge w:val="restart"/>
            <w:shd w:val="clear" w:color="auto" w:fill="auto"/>
            <w:noWrap/>
            <w:vAlign w:val="center"/>
          </w:tcPr>
          <w:p w14:paraId="470F4225">
            <w:pPr>
              <w:jc w:val="center"/>
              <w:rPr>
                <w:rFonts w:hint="eastAsia"/>
                <w:color w:val="000000"/>
                <w:sz w:val="20"/>
                <w:szCs w:val="20"/>
              </w:rPr>
            </w:pPr>
            <w:r>
              <w:rPr>
                <w:rFonts w:hint="eastAsia"/>
                <w:color w:val="000000"/>
                <w:sz w:val="20"/>
                <w:szCs w:val="20"/>
              </w:rPr>
              <w:t>5</w:t>
            </w:r>
          </w:p>
        </w:tc>
        <w:tc>
          <w:tcPr>
            <w:tcW w:w="1580" w:type="dxa"/>
            <w:vMerge w:val="restart"/>
            <w:shd w:val="clear" w:color="auto" w:fill="auto"/>
            <w:noWrap/>
            <w:vAlign w:val="center"/>
          </w:tcPr>
          <w:p w14:paraId="31460071">
            <w:pPr>
              <w:jc w:val="center"/>
              <w:rPr>
                <w:rFonts w:hint="eastAsia"/>
                <w:color w:val="000000"/>
                <w:sz w:val="20"/>
                <w:szCs w:val="20"/>
              </w:rPr>
            </w:pPr>
            <w:r>
              <w:rPr>
                <w:rFonts w:hint="eastAsia"/>
                <w:color w:val="000000"/>
                <w:sz w:val="20"/>
                <w:szCs w:val="20"/>
              </w:rPr>
              <w:t>高密AP</w:t>
            </w:r>
          </w:p>
        </w:tc>
        <w:tc>
          <w:tcPr>
            <w:tcW w:w="4830" w:type="dxa"/>
            <w:shd w:val="clear" w:color="auto" w:fill="auto"/>
            <w:noWrap w:val="0"/>
            <w:vAlign w:val="center"/>
          </w:tcPr>
          <w:p w14:paraId="2B4F3E92">
            <w:pPr>
              <w:rPr>
                <w:rFonts w:hint="eastAsia"/>
                <w:color w:val="000000"/>
                <w:sz w:val="20"/>
                <w:szCs w:val="20"/>
              </w:rPr>
            </w:pPr>
            <w:r>
              <w:rPr>
                <w:rFonts w:hint="eastAsia"/>
                <w:color w:val="000000"/>
                <w:sz w:val="20"/>
                <w:szCs w:val="20"/>
              </w:rPr>
              <w:t>1.Wi-Fi 7四射频增强级放装型无线接入点，2.4G、5G频段均支持802.11be标准，采用四射频设计，整机支持12条空间流，整机最大无线速率≥12.2Gbps；</w:t>
            </w:r>
          </w:p>
        </w:tc>
        <w:tc>
          <w:tcPr>
            <w:tcW w:w="1300" w:type="dxa"/>
            <w:shd w:val="clear" w:color="auto" w:fill="auto"/>
            <w:noWrap/>
            <w:vAlign w:val="center"/>
          </w:tcPr>
          <w:p w14:paraId="7CB6C2FF">
            <w:pPr>
              <w:rPr>
                <w:rFonts w:hint="eastAsia"/>
                <w:color w:val="000000"/>
                <w:sz w:val="20"/>
                <w:szCs w:val="20"/>
              </w:rPr>
            </w:pPr>
            <w:r>
              <w:rPr>
                <w:rFonts w:hint="eastAsia"/>
                <w:color w:val="000000"/>
                <w:sz w:val="20"/>
                <w:szCs w:val="20"/>
              </w:rPr>
              <w:t>　</w:t>
            </w:r>
          </w:p>
        </w:tc>
      </w:tr>
      <w:tr w14:paraId="4018B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0" w:type="dxa"/>
            <w:vMerge w:val="continue"/>
            <w:shd w:val="clear" w:color="auto" w:fill="auto"/>
            <w:noWrap w:val="0"/>
            <w:vAlign w:val="center"/>
          </w:tcPr>
          <w:p w14:paraId="1C07847B">
            <w:pPr>
              <w:rPr>
                <w:color w:val="000000"/>
                <w:sz w:val="20"/>
                <w:szCs w:val="20"/>
              </w:rPr>
            </w:pPr>
          </w:p>
        </w:tc>
        <w:tc>
          <w:tcPr>
            <w:tcW w:w="1580" w:type="dxa"/>
            <w:vMerge w:val="continue"/>
            <w:shd w:val="clear" w:color="auto" w:fill="auto"/>
            <w:noWrap w:val="0"/>
            <w:vAlign w:val="center"/>
          </w:tcPr>
          <w:p w14:paraId="0CD40F48">
            <w:pPr>
              <w:rPr>
                <w:color w:val="000000"/>
                <w:sz w:val="20"/>
                <w:szCs w:val="20"/>
              </w:rPr>
            </w:pPr>
          </w:p>
        </w:tc>
        <w:tc>
          <w:tcPr>
            <w:tcW w:w="4830" w:type="dxa"/>
            <w:shd w:val="clear" w:color="auto" w:fill="auto"/>
            <w:noWrap w:val="0"/>
            <w:vAlign w:val="center"/>
          </w:tcPr>
          <w:p w14:paraId="27704A21">
            <w:pPr>
              <w:rPr>
                <w:rFonts w:hint="eastAsia"/>
                <w:color w:val="000000"/>
                <w:sz w:val="20"/>
                <w:szCs w:val="20"/>
              </w:rPr>
            </w:pPr>
            <w:r>
              <w:rPr>
                <w:rFonts w:hint="eastAsia"/>
                <w:color w:val="000000"/>
                <w:sz w:val="20"/>
                <w:szCs w:val="20"/>
              </w:rPr>
              <w:t>2.支持1个10G以太网电口和1个1G以太网电口；</w:t>
            </w:r>
          </w:p>
        </w:tc>
        <w:tc>
          <w:tcPr>
            <w:tcW w:w="1300" w:type="dxa"/>
            <w:shd w:val="clear" w:color="auto" w:fill="auto"/>
            <w:noWrap/>
            <w:vAlign w:val="center"/>
          </w:tcPr>
          <w:p w14:paraId="22976C12">
            <w:pPr>
              <w:rPr>
                <w:rFonts w:hint="eastAsia"/>
                <w:color w:val="000000"/>
                <w:sz w:val="20"/>
                <w:szCs w:val="20"/>
              </w:rPr>
            </w:pPr>
            <w:r>
              <w:rPr>
                <w:rFonts w:hint="eastAsia"/>
                <w:color w:val="000000"/>
                <w:sz w:val="20"/>
                <w:szCs w:val="20"/>
              </w:rPr>
              <w:t>　</w:t>
            </w:r>
          </w:p>
        </w:tc>
      </w:tr>
      <w:tr w14:paraId="40EE9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80" w:type="dxa"/>
            <w:vMerge w:val="continue"/>
            <w:shd w:val="clear" w:color="auto" w:fill="auto"/>
            <w:noWrap w:val="0"/>
            <w:vAlign w:val="center"/>
          </w:tcPr>
          <w:p w14:paraId="0F16800E">
            <w:pPr>
              <w:rPr>
                <w:color w:val="000000"/>
                <w:sz w:val="20"/>
                <w:szCs w:val="20"/>
              </w:rPr>
            </w:pPr>
          </w:p>
        </w:tc>
        <w:tc>
          <w:tcPr>
            <w:tcW w:w="1580" w:type="dxa"/>
            <w:vMerge w:val="continue"/>
            <w:shd w:val="clear" w:color="auto" w:fill="auto"/>
            <w:noWrap w:val="0"/>
            <w:vAlign w:val="center"/>
          </w:tcPr>
          <w:p w14:paraId="3D3BB44B">
            <w:pPr>
              <w:rPr>
                <w:color w:val="000000"/>
                <w:sz w:val="20"/>
                <w:szCs w:val="20"/>
              </w:rPr>
            </w:pPr>
          </w:p>
        </w:tc>
        <w:tc>
          <w:tcPr>
            <w:tcW w:w="4830" w:type="dxa"/>
            <w:shd w:val="clear" w:color="auto" w:fill="auto"/>
            <w:noWrap w:val="0"/>
            <w:vAlign w:val="center"/>
          </w:tcPr>
          <w:p w14:paraId="37F92591">
            <w:pPr>
              <w:rPr>
                <w:rFonts w:hint="eastAsia"/>
                <w:color w:val="000000"/>
                <w:sz w:val="20"/>
                <w:szCs w:val="20"/>
              </w:rPr>
            </w:pPr>
            <w:r>
              <w:rPr>
                <w:rFonts w:hint="eastAsia"/>
                <w:color w:val="000000"/>
                <w:sz w:val="20"/>
                <w:szCs w:val="20"/>
              </w:rPr>
              <w:t>3.至少1个10/100/1000M以太网接口支持对外供电，可扩展物联网模块；</w:t>
            </w:r>
          </w:p>
        </w:tc>
        <w:tc>
          <w:tcPr>
            <w:tcW w:w="1300" w:type="dxa"/>
            <w:shd w:val="clear" w:color="auto" w:fill="auto"/>
            <w:noWrap/>
            <w:vAlign w:val="center"/>
          </w:tcPr>
          <w:p w14:paraId="7D92AC95">
            <w:pPr>
              <w:rPr>
                <w:rFonts w:hint="eastAsia"/>
                <w:color w:val="000000"/>
                <w:sz w:val="20"/>
                <w:szCs w:val="20"/>
              </w:rPr>
            </w:pPr>
            <w:r>
              <w:rPr>
                <w:rFonts w:hint="eastAsia"/>
                <w:color w:val="000000"/>
                <w:sz w:val="20"/>
                <w:szCs w:val="20"/>
              </w:rPr>
              <w:t>　</w:t>
            </w:r>
          </w:p>
        </w:tc>
      </w:tr>
      <w:tr w14:paraId="29031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0" w:type="dxa"/>
            <w:vMerge w:val="continue"/>
            <w:shd w:val="clear" w:color="auto" w:fill="auto"/>
            <w:noWrap w:val="0"/>
            <w:vAlign w:val="center"/>
          </w:tcPr>
          <w:p w14:paraId="031B46C0">
            <w:pPr>
              <w:rPr>
                <w:color w:val="000000"/>
                <w:sz w:val="20"/>
                <w:szCs w:val="20"/>
              </w:rPr>
            </w:pPr>
          </w:p>
        </w:tc>
        <w:tc>
          <w:tcPr>
            <w:tcW w:w="1580" w:type="dxa"/>
            <w:vMerge w:val="continue"/>
            <w:shd w:val="clear" w:color="auto" w:fill="auto"/>
            <w:noWrap w:val="0"/>
            <w:vAlign w:val="center"/>
          </w:tcPr>
          <w:p w14:paraId="4FDA2F3A">
            <w:pPr>
              <w:rPr>
                <w:color w:val="000000"/>
                <w:sz w:val="20"/>
                <w:szCs w:val="20"/>
              </w:rPr>
            </w:pPr>
          </w:p>
        </w:tc>
        <w:tc>
          <w:tcPr>
            <w:tcW w:w="4830" w:type="dxa"/>
            <w:shd w:val="clear" w:color="auto" w:fill="auto"/>
            <w:noWrap w:val="0"/>
            <w:vAlign w:val="center"/>
          </w:tcPr>
          <w:p w14:paraId="3486FABA">
            <w:pPr>
              <w:rPr>
                <w:rFonts w:hint="eastAsia"/>
                <w:color w:val="000000"/>
                <w:sz w:val="20"/>
                <w:szCs w:val="20"/>
              </w:rPr>
            </w:pPr>
            <w:r>
              <w:rPr>
                <w:rFonts w:hint="eastAsia"/>
                <w:color w:val="000000"/>
                <w:sz w:val="20"/>
                <w:szCs w:val="20"/>
              </w:rPr>
              <w:t>4.支持10G光口≥1个；</w:t>
            </w:r>
          </w:p>
        </w:tc>
        <w:tc>
          <w:tcPr>
            <w:tcW w:w="1300" w:type="dxa"/>
            <w:shd w:val="clear" w:color="auto" w:fill="auto"/>
            <w:noWrap/>
            <w:vAlign w:val="center"/>
          </w:tcPr>
          <w:p w14:paraId="7FFD8D61">
            <w:pPr>
              <w:rPr>
                <w:rFonts w:hint="eastAsia"/>
                <w:color w:val="000000"/>
                <w:sz w:val="20"/>
                <w:szCs w:val="20"/>
              </w:rPr>
            </w:pPr>
            <w:r>
              <w:rPr>
                <w:rFonts w:hint="eastAsia"/>
                <w:color w:val="000000"/>
                <w:sz w:val="20"/>
                <w:szCs w:val="20"/>
              </w:rPr>
              <w:t>　</w:t>
            </w:r>
          </w:p>
        </w:tc>
      </w:tr>
      <w:tr w14:paraId="45707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0" w:type="dxa"/>
            <w:vMerge w:val="continue"/>
            <w:shd w:val="clear" w:color="auto" w:fill="auto"/>
            <w:noWrap w:val="0"/>
            <w:vAlign w:val="center"/>
          </w:tcPr>
          <w:p w14:paraId="7AF2DB3C">
            <w:pPr>
              <w:rPr>
                <w:color w:val="000000"/>
                <w:sz w:val="20"/>
                <w:szCs w:val="20"/>
              </w:rPr>
            </w:pPr>
          </w:p>
        </w:tc>
        <w:tc>
          <w:tcPr>
            <w:tcW w:w="1580" w:type="dxa"/>
            <w:vMerge w:val="continue"/>
            <w:shd w:val="clear" w:color="auto" w:fill="auto"/>
            <w:noWrap w:val="0"/>
            <w:vAlign w:val="center"/>
          </w:tcPr>
          <w:p w14:paraId="6BF6D117">
            <w:pPr>
              <w:rPr>
                <w:color w:val="000000"/>
                <w:sz w:val="20"/>
                <w:szCs w:val="20"/>
              </w:rPr>
            </w:pPr>
          </w:p>
        </w:tc>
        <w:tc>
          <w:tcPr>
            <w:tcW w:w="4830" w:type="dxa"/>
            <w:shd w:val="clear" w:color="auto" w:fill="auto"/>
            <w:noWrap w:val="0"/>
            <w:vAlign w:val="center"/>
          </w:tcPr>
          <w:p w14:paraId="3F0A48A6">
            <w:pPr>
              <w:rPr>
                <w:rFonts w:hint="eastAsia"/>
                <w:color w:val="000000"/>
                <w:sz w:val="20"/>
                <w:szCs w:val="20"/>
              </w:rPr>
            </w:pPr>
            <w:r>
              <w:rPr>
                <w:rFonts w:hint="eastAsia"/>
                <w:color w:val="000000"/>
                <w:sz w:val="20"/>
                <w:szCs w:val="20"/>
              </w:rPr>
              <w:t>5.支持BLE 5.3；</w:t>
            </w:r>
          </w:p>
        </w:tc>
        <w:tc>
          <w:tcPr>
            <w:tcW w:w="1300" w:type="dxa"/>
            <w:shd w:val="clear" w:color="auto" w:fill="auto"/>
            <w:noWrap/>
            <w:vAlign w:val="center"/>
          </w:tcPr>
          <w:p w14:paraId="44EFCA2D">
            <w:pPr>
              <w:rPr>
                <w:rFonts w:hint="eastAsia"/>
                <w:color w:val="000000"/>
                <w:sz w:val="20"/>
                <w:szCs w:val="20"/>
              </w:rPr>
            </w:pPr>
            <w:r>
              <w:rPr>
                <w:rFonts w:hint="eastAsia"/>
                <w:color w:val="000000"/>
                <w:sz w:val="20"/>
                <w:szCs w:val="20"/>
              </w:rPr>
              <w:t>　</w:t>
            </w:r>
          </w:p>
        </w:tc>
      </w:tr>
      <w:tr w14:paraId="16B82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0" w:type="dxa"/>
            <w:vMerge w:val="continue"/>
            <w:shd w:val="clear" w:color="auto" w:fill="auto"/>
            <w:noWrap w:val="0"/>
            <w:vAlign w:val="center"/>
          </w:tcPr>
          <w:p w14:paraId="1D0884BB">
            <w:pPr>
              <w:rPr>
                <w:color w:val="000000"/>
                <w:sz w:val="20"/>
                <w:szCs w:val="20"/>
              </w:rPr>
            </w:pPr>
          </w:p>
        </w:tc>
        <w:tc>
          <w:tcPr>
            <w:tcW w:w="1580" w:type="dxa"/>
            <w:vMerge w:val="continue"/>
            <w:shd w:val="clear" w:color="auto" w:fill="auto"/>
            <w:noWrap w:val="0"/>
            <w:vAlign w:val="center"/>
          </w:tcPr>
          <w:p w14:paraId="31DF1ECB">
            <w:pPr>
              <w:rPr>
                <w:color w:val="000000"/>
                <w:sz w:val="20"/>
                <w:szCs w:val="20"/>
              </w:rPr>
            </w:pPr>
          </w:p>
        </w:tc>
        <w:tc>
          <w:tcPr>
            <w:tcW w:w="4830" w:type="dxa"/>
            <w:shd w:val="clear" w:color="auto" w:fill="auto"/>
            <w:noWrap w:val="0"/>
            <w:vAlign w:val="center"/>
          </w:tcPr>
          <w:p w14:paraId="07727FFF">
            <w:pPr>
              <w:rPr>
                <w:rFonts w:hint="eastAsia"/>
                <w:color w:val="000000"/>
                <w:sz w:val="20"/>
                <w:szCs w:val="20"/>
              </w:rPr>
            </w:pPr>
            <w:r>
              <w:rPr>
                <w:rFonts w:hint="eastAsia"/>
                <w:color w:val="000000"/>
                <w:sz w:val="20"/>
                <w:szCs w:val="20"/>
              </w:rPr>
              <w:t>6.支持USB 2.0；</w:t>
            </w:r>
          </w:p>
        </w:tc>
        <w:tc>
          <w:tcPr>
            <w:tcW w:w="1300" w:type="dxa"/>
            <w:shd w:val="clear" w:color="auto" w:fill="auto"/>
            <w:noWrap/>
            <w:vAlign w:val="center"/>
          </w:tcPr>
          <w:p w14:paraId="4BE16CDE">
            <w:pPr>
              <w:rPr>
                <w:rFonts w:hint="eastAsia"/>
                <w:color w:val="000000"/>
                <w:sz w:val="20"/>
                <w:szCs w:val="20"/>
              </w:rPr>
            </w:pPr>
            <w:r>
              <w:rPr>
                <w:rFonts w:hint="eastAsia"/>
                <w:color w:val="000000"/>
                <w:sz w:val="20"/>
                <w:szCs w:val="20"/>
              </w:rPr>
              <w:t>　</w:t>
            </w:r>
          </w:p>
        </w:tc>
      </w:tr>
      <w:tr w14:paraId="0846C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80" w:type="dxa"/>
            <w:vMerge w:val="continue"/>
            <w:shd w:val="clear" w:color="auto" w:fill="auto"/>
            <w:noWrap w:val="0"/>
            <w:vAlign w:val="center"/>
          </w:tcPr>
          <w:p w14:paraId="2CFD194F">
            <w:pPr>
              <w:rPr>
                <w:color w:val="000000"/>
                <w:sz w:val="20"/>
                <w:szCs w:val="20"/>
              </w:rPr>
            </w:pPr>
          </w:p>
        </w:tc>
        <w:tc>
          <w:tcPr>
            <w:tcW w:w="1580" w:type="dxa"/>
            <w:vMerge w:val="continue"/>
            <w:shd w:val="clear" w:color="auto" w:fill="auto"/>
            <w:noWrap w:val="0"/>
            <w:vAlign w:val="center"/>
          </w:tcPr>
          <w:p w14:paraId="7EFEC35E">
            <w:pPr>
              <w:rPr>
                <w:color w:val="000000"/>
                <w:sz w:val="20"/>
                <w:szCs w:val="20"/>
              </w:rPr>
            </w:pPr>
          </w:p>
        </w:tc>
        <w:tc>
          <w:tcPr>
            <w:tcW w:w="4830" w:type="dxa"/>
            <w:shd w:val="clear" w:color="auto" w:fill="auto"/>
            <w:noWrap w:val="0"/>
            <w:vAlign w:val="center"/>
          </w:tcPr>
          <w:p w14:paraId="21768AE3">
            <w:pPr>
              <w:rPr>
                <w:rFonts w:hint="eastAsia"/>
                <w:color w:val="000000"/>
                <w:sz w:val="20"/>
                <w:szCs w:val="20"/>
              </w:rPr>
            </w:pPr>
            <w:r>
              <w:rPr>
                <w:rFonts w:hint="eastAsia"/>
                <w:color w:val="000000"/>
                <w:sz w:val="20"/>
                <w:szCs w:val="20"/>
              </w:rPr>
              <w:t>7.为快速建立高度隔离的安全网络，设备应支持实现AP虚拟化功能，实现一台AP虚拟为多台AP，分别受不同AC设备独立管理，互不影响。不同虚拟AP之间数据隔离，虚拟AP在AC上不占用AP License；</w:t>
            </w:r>
          </w:p>
        </w:tc>
        <w:tc>
          <w:tcPr>
            <w:tcW w:w="1300" w:type="dxa"/>
            <w:shd w:val="clear" w:color="auto" w:fill="auto"/>
            <w:noWrap/>
            <w:vAlign w:val="center"/>
          </w:tcPr>
          <w:p w14:paraId="03EDF7AA">
            <w:pPr>
              <w:rPr>
                <w:rFonts w:hint="eastAsia"/>
                <w:color w:val="000000"/>
                <w:sz w:val="20"/>
                <w:szCs w:val="20"/>
              </w:rPr>
            </w:pPr>
            <w:r>
              <w:rPr>
                <w:rFonts w:hint="eastAsia"/>
                <w:color w:val="000000"/>
                <w:sz w:val="20"/>
                <w:szCs w:val="20"/>
              </w:rPr>
              <w:t>　</w:t>
            </w:r>
          </w:p>
        </w:tc>
      </w:tr>
      <w:tr w14:paraId="750E6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780" w:type="dxa"/>
            <w:vMerge w:val="continue"/>
            <w:shd w:val="clear" w:color="auto" w:fill="auto"/>
            <w:noWrap w:val="0"/>
            <w:vAlign w:val="center"/>
          </w:tcPr>
          <w:p w14:paraId="220CA18C">
            <w:pPr>
              <w:rPr>
                <w:color w:val="000000"/>
                <w:sz w:val="20"/>
                <w:szCs w:val="20"/>
              </w:rPr>
            </w:pPr>
          </w:p>
        </w:tc>
        <w:tc>
          <w:tcPr>
            <w:tcW w:w="1580" w:type="dxa"/>
            <w:vMerge w:val="continue"/>
            <w:shd w:val="clear" w:color="auto" w:fill="auto"/>
            <w:noWrap w:val="0"/>
            <w:vAlign w:val="center"/>
          </w:tcPr>
          <w:p w14:paraId="10BEAA9B">
            <w:pPr>
              <w:rPr>
                <w:color w:val="000000"/>
                <w:sz w:val="20"/>
                <w:szCs w:val="20"/>
              </w:rPr>
            </w:pPr>
          </w:p>
        </w:tc>
        <w:tc>
          <w:tcPr>
            <w:tcW w:w="4830" w:type="dxa"/>
            <w:shd w:val="clear" w:color="auto" w:fill="auto"/>
            <w:noWrap w:val="0"/>
            <w:vAlign w:val="center"/>
          </w:tcPr>
          <w:p w14:paraId="5B8B9700">
            <w:pPr>
              <w:rPr>
                <w:rFonts w:hint="eastAsia"/>
                <w:color w:val="FF0000"/>
                <w:sz w:val="20"/>
                <w:szCs w:val="20"/>
              </w:rPr>
            </w:pPr>
            <w:r>
              <w:rPr>
                <w:rFonts w:hint="eastAsia"/>
                <w:color w:val="FF0000"/>
                <w:sz w:val="20"/>
                <w:szCs w:val="20"/>
              </w:rPr>
              <w:t>▲8.为保障移动终端的网络性能，所投AP 可使用额外的一个独立射频进行环境扫描，并将信息上传AC，由AC 引导终端漫游到附近信号更好的 AP，减少网络中的粘性终端以及避免终端主动漫游产生的丢包；</w:t>
            </w:r>
          </w:p>
        </w:tc>
        <w:tc>
          <w:tcPr>
            <w:tcW w:w="1300" w:type="dxa"/>
            <w:shd w:val="clear" w:color="auto" w:fill="auto"/>
            <w:noWrap/>
            <w:vAlign w:val="center"/>
          </w:tcPr>
          <w:p w14:paraId="630E1687">
            <w:pPr>
              <w:rPr>
                <w:rFonts w:hint="eastAsia"/>
                <w:color w:val="000000"/>
                <w:sz w:val="20"/>
                <w:szCs w:val="20"/>
              </w:rPr>
            </w:pPr>
            <w:r>
              <w:rPr>
                <w:rFonts w:hint="eastAsia"/>
                <w:color w:val="000000"/>
                <w:sz w:val="20"/>
                <w:szCs w:val="20"/>
              </w:rPr>
              <w:t>　</w:t>
            </w:r>
          </w:p>
        </w:tc>
      </w:tr>
      <w:tr w14:paraId="2AAA1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80" w:type="dxa"/>
            <w:vMerge w:val="continue"/>
            <w:shd w:val="clear" w:color="auto" w:fill="auto"/>
            <w:noWrap w:val="0"/>
            <w:vAlign w:val="center"/>
          </w:tcPr>
          <w:p w14:paraId="0E145F02">
            <w:pPr>
              <w:rPr>
                <w:color w:val="000000"/>
                <w:sz w:val="20"/>
                <w:szCs w:val="20"/>
              </w:rPr>
            </w:pPr>
          </w:p>
        </w:tc>
        <w:tc>
          <w:tcPr>
            <w:tcW w:w="1580" w:type="dxa"/>
            <w:vMerge w:val="continue"/>
            <w:shd w:val="clear" w:color="auto" w:fill="auto"/>
            <w:noWrap w:val="0"/>
            <w:vAlign w:val="center"/>
          </w:tcPr>
          <w:p w14:paraId="7C5B747F">
            <w:pPr>
              <w:rPr>
                <w:color w:val="000000"/>
                <w:sz w:val="20"/>
                <w:szCs w:val="20"/>
              </w:rPr>
            </w:pPr>
          </w:p>
        </w:tc>
        <w:tc>
          <w:tcPr>
            <w:tcW w:w="4830" w:type="dxa"/>
            <w:shd w:val="clear" w:color="auto" w:fill="auto"/>
            <w:noWrap w:val="0"/>
            <w:vAlign w:val="center"/>
          </w:tcPr>
          <w:p w14:paraId="72CE345F">
            <w:pPr>
              <w:rPr>
                <w:rFonts w:hint="eastAsia"/>
                <w:color w:val="000000"/>
                <w:sz w:val="20"/>
                <w:szCs w:val="20"/>
              </w:rPr>
            </w:pPr>
            <w:r>
              <w:rPr>
                <w:rFonts w:hint="eastAsia"/>
                <w:color w:val="000000"/>
                <w:sz w:val="20"/>
                <w:szCs w:val="20"/>
              </w:rPr>
              <w:t>9.支持SSID隐藏，每个SSID可配置单独的认证方式、加密机制，VLAN属性；</w:t>
            </w:r>
          </w:p>
        </w:tc>
        <w:tc>
          <w:tcPr>
            <w:tcW w:w="1300" w:type="dxa"/>
            <w:shd w:val="clear" w:color="auto" w:fill="auto"/>
            <w:noWrap/>
            <w:vAlign w:val="center"/>
          </w:tcPr>
          <w:p w14:paraId="073B14AE">
            <w:pPr>
              <w:rPr>
                <w:rFonts w:hint="eastAsia"/>
                <w:color w:val="000000"/>
                <w:sz w:val="20"/>
                <w:szCs w:val="20"/>
              </w:rPr>
            </w:pPr>
            <w:r>
              <w:rPr>
                <w:rFonts w:hint="eastAsia"/>
                <w:color w:val="000000"/>
                <w:sz w:val="20"/>
                <w:szCs w:val="20"/>
              </w:rPr>
              <w:t>　</w:t>
            </w:r>
          </w:p>
        </w:tc>
      </w:tr>
      <w:tr w14:paraId="33F2C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0" w:type="dxa"/>
            <w:vMerge w:val="continue"/>
            <w:shd w:val="clear" w:color="auto" w:fill="auto"/>
            <w:noWrap w:val="0"/>
            <w:vAlign w:val="center"/>
          </w:tcPr>
          <w:p w14:paraId="779110A1">
            <w:pPr>
              <w:rPr>
                <w:color w:val="000000"/>
                <w:sz w:val="20"/>
                <w:szCs w:val="20"/>
              </w:rPr>
            </w:pPr>
          </w:p>
        </w:tc>
        <w:tc>
          <w:tcPr>
            <w:tcW w:w="1580" w:type="dxa"/>
            <w:vMerge w:val="continue"/>
            <w:shd w:val="clear" w:color="auto" w:fill="auto"/>
            <w:noWrap w:val="0"/>
            <w:vAlign w:val="center"/>
          </w:tcPr>
          <w:p w14:paraId="00B469F1">
            <w:pPr>
              <w:rPr>
                <w:color w:val="000000"/>
                <w:sz w:val="20"/>
                <w:szCs w:val="20"/>
              </w:rPr>
            </w:pPr>
          </w:p>
        </w:tc>
        <w:tc>
          <w:tcPr>
            <w:tcW w:w="4830" w:type="dxa"/>
            <w:shd w:val="clear" w:color="auto" w:fill="auto"/>
            <w:noWrap w:val="0"/>
            <w:vAlign w:val="center"/>
          </w:tcPr>
          <w:p w14:paraId="6B3DA062">
            <w:pPr>
              <w:rPr>
                <w:rFonts w:hint="eastAsia"/>
                <w:color w:val="000000"/>
                <w:sz w:val="20"/>
                <w:szCs w:val="20"/>
              </w:rPr>
            </w:pPr>
            <w:r>
              <w:rPr>
                <w:rFonts w:hint="eastAsia"/>
                <w:color w:val="000000"/>
                <w:sz w:val="20"/>
                <w:szCs w:val="20"/>
              </w:rPr>
              <w:t>10.支持边缘智能感知（RIPT）；</w:t>
            </w:r>
          </w:p>
        </w:tc>
        <w:tc>
          <w:tcPr>
            <w:tcW w:w="1300" w:type="dxa"/>
            <w:shd w:val="clear" w:color="auto" w:fill="auto"/>
            <w:noWrap/>
            <w:vAlign w:val="center"/>
          </w:tcPr>
          <w:p w14:paraId="2401DBC9">
            <w:pPr>
              <w:rPr>
                <w:rFonts w:hint="eastAsia"/>
                <w:color w:val="000000"/>
                <w:sz w:val="20"/>
                <w:szCs w:val="20"/>
              </w:rPr>
            </w:pPr>
            <w:r>
              <w:rPr>
                <w:rFonts w:hint="eastAsia"/>
                <w:color w:val="000000"/>
                <w:sz w:val="20"/>
                <w:szCs w:val="20"/>
              </w:rPr>
              <w:t>　</w:t>
            </w:r>
          </w:p>
        </w:tc>
      </w:tr>
      <w:tr w14:paraId="6F708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80" w:type="dxa"/>
            <w:vMerge w:val="continue"/>
            <w:shd w:val="clear" w:color="auto" w:fill="auto"/>
            <w:noWrap w:val="0"/>
            <w:vAlign w:val="center"/>
          </w:tcPr>
          <w:p w14:paraId="592B6C65">
            <w:pPr>
              <w:rPr>
                <w:color w:val="000000"/>
                <w:sz w:val="20"/>
                <w:szCs w:val="20"/>
              </w:rPr>
            </w:pPr>
          </w:p>
        </w:tc>
        <w:tc>
          <w:tcPr>
            <w:tcW w:w="1580" w:type="dxa"/>
            <w:vMerge w:val="continue"/>
            <w:shd w:val="clear" w:color="auto" w:fill="auto"/>
            <w:noWrap w:val="0"/>
            <w:vAlign w:val="center"/>
          </w:tcPr>
          <w:p w14:paraId="07DC28B5">
            <w:pPr>
              <w:rPr>
                <w:color w:val="000000"/>
                <w:sz w:val="20"/>
                <w:szCs w:val="20"/>
              </w:rPr>
            </w:pPr>
          </w:p>
        </w:tc>
        <w:tc>
          <w:tcPr>
            <w:tcW w:w="4830" w:type="dxa"/>
            <w:shd w:val="clear" w:color="auto" w:fill="auto"/>
            <w:noWrap w:val="0"/>
            <w:vAlign w:val="center"/>
          </w:tcPr>
          <w:p w14:paraId="3932F439">
            <w:pPr>
              <w:rPr>
                <w:rFonts w:hint="eastAsia"/>
                <w:color w:val="000000"/>
                <w:sz w:val="20"/>
                <w:szCs w:val="20"/>
              </w:rPr>
            </w:pPr>
            <w:r>
              <w:rPr>
                <w:rFonts w:hint="eastAsia"/>
                <w:color w:val="000000"/>
                <w:sz w:val="20"/>
                <w:szCs w:val="20"/>
              </w:rPr>
              <w:t>11.支持终端智能识别技术，可识别终端类型并上报；</w:t>
            </w:r>
          </w:p>
        </w:tc>
        <w:tc>
          <w:tcPr>
            <w:tcW w:w="1300" w:type="dxa"/>
            <w:shd w:val="clear" w:color="auto" w:fill="auto"/>
            <w:noWrap/>
            <w:vAlign w:val="center"/>
          </w:tcPr>
          <w:p w14:paraId="2F34BA25">
            <w:pPr>
              <w:rPr>
                <w:rFonts w:hint="eastAsia"/>
                <w:color w:val="000000"/>
                <w:sz w:val="20"/>
                <w:szCs w:val="20"/>
              </w:rPr>
            </w:pPr>
            <w:r>
              <w:rPr>
                <w:rFonts w:hint="eastAsia"/>
                <w:color w:val="000000"/>
                <w:sz w:val="20"/>
                <w:szCs w:val="20"/>
              </w:rPr>
              <w:t>　</w:t>
            </w:r>
          </w:p>
        </w:tc>
      </w:tr>
      <w:tr w14:paraId="51DC7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0" w:type="dxa"/>
            <w:vMerge w:val="continue"/>
            <w:shd w:val="clear" w:color="auto" w:fill="auto"/>
            <w:noWrap w:val="0"/>
            <w:vAlign w:val="center"/>
          </w:tcPr>
          <w:p w14:paraId="20EA147C">
            <w:pPr>
              <w:rPr>
                <w:color w:val="000000"/>
                <w:sz w:val="20"/>
                <w:szCs w:val="20"/>
              </w:rPr>
            </w:pPr>
          </w:p>
        </w:tc>
        <w:tc>
          <w:tcPr>
            <w:tcW w:w="1580" w:type="dxa"/>
            <w:vMerge w:val="continue"/>
            <w:shd w:val="clear" w:color="auto" w:fill="auto"/>
            <w:noWrap w:val="0"/>
            <w:vAlign w:val="center"/>
          </w:tcPr>
          <w:p w14:paraId="41ED3F2A">
            <w:pPr>
              <w:rPr>
                <w:color w:val="000000"/>
                <w:sz w:val="20"/>
                <w:szCs w:val="20"/>
              </w:rPr>
            </w:pPr>
          </w:p>
        </w:tc>
        <w:tc>
          <w:tcPr>
            <w:tcW w:w="4830" w:type="dxa"/>
            <w:shd w:val="clear" w:color="auto" w:fill="auto"/>
            <w:noWrap w:val="0"/>
            <w:vAlign w:val="center"/>
          </w:tcPr>
          <w:p w14:paraId="0F0EB63C">
            <w:pPr>
              <w:rPr>
                <w:rFonts w:hint="eastAsia"/>
                <w:color w:val="000000"/>
                <w:sz w:val="20"/>
                <w:szCs w:val="20"/>
              </w:rPr>
            </w:pPr>
            <w:r>
              <w:rPr>
                <w:rFonts w:hint="eastAsia"/>
                <w:color w:val="000000"/>
                <w:sz w:val="20"/>
                <w:szCs w:val="20"/>
              </w:rPr>
              <w:t>12.支持基于SSID、射频卡的接入用户数限制；</w:t>
            </w:r>
          </w:p>
        </w:tc>
        <w:tc>
          <w:tcPr>
            <w:tcW w:w="1300" w:type="dxa"/>
            <w:shd w:val="clear" w:color="auto" w:fill="auto"/>
            <w:noWrap/>
            <w:vAlign w:val="center"/>
          </w:tcPr>
          <w:p w14:paraId="38389D25">
            <w:pPr>
              <w:rPr>
                <w:rFonts w:hint="eastAsia"/>
                <w:color w:val="000000"/>
                <w:sz w:val="20"/>
                <w:szCs w:val="20"/>
              </w:rPr>
            </w:pPr>
            <w:r>
              <w:rPr>
                <w:rFonts w:hint="eastAsia"/>
                <w:color w:val="000000"/>
                <w:sz w:val="20"/>
                <w:szCs w:val="20"/>
              </w:rPr>
              <w:t>　</w:t>
            </w:r>
          </w:p>
        </w:tc>
      </w:tr>
      <w:tr w14:paraId="7847F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80" w:type="dxa"/>
            <w:vMerge w:val="continue"/>
            <w:shd w:val="clear" w:color="auto" w:fill="auto"/>
            <w:noWrap w:val="0"/>
            <w:vAlign w:val="center"/>
          </w:tcPr>
          <w:p w14:paraId="231D832A">
            <w:pPr>
              <w:rPr>
                <w:color w:val="000000"/>
                <w:sz w:val="20"/>
                <w:szCs w:val="20"/>
              </w:rPr>
            </w:pPr>
          </w:p>
        </w:tc>
        <w:tc>
          <w:tcPr>
            <w:tcW w:w="1580" w:type="dxa"/>
            <w:vMerge w:val="continue"/>
            <w:shd w:val="clear" w:color="auto" w:fill="auto"/>
            <w:noWrap w:val="0"/>
            <w:vAlign w:val="center"/>
          </w:tcPr>
          <w:p w14:paraId="16B99315">
            <w:pPr>
              <w:rPr>
                <w:color w:val="000000"/>
                <w:sz w:val="20"/>
                <w:szCs w:val="20"/>
              </w:rPr>
            </w:pPr>
          </w:p>
        </w:tc>
        <w:tc>
          <w:tcPr>
            <w:tcW w:w="4830" w:type="dxa"/>
            <w:shd w:val="clear" w:color="auto" w:fill="auto"/>
            <w:noWrap w:val="0"/>
            <w:vAlign w:val="center"/>
          </w:tcPr>
          <w:p w14:paraId="158FFA59">
            <w:pPr>
              <w:rPr>
                <w:rFonts w:hint="eastAsia"/>
                <w:color w:val="000000"/>
                <w:sz w:val="20"/>
                <w:szCs w:val="20"/>
              </w:rPr>
            </w:pPr>
            <w:r>
              <w:rPr>
                <w:rFonts w:hint="eastAsia"/>
                <w:color w:val="000000"/>
                <w:sz w:val="20"/>
                <w:szCs w:val="20"/>
              </w:rPr>
              <w:t>13.支持基于终端数或流量的智能负载均衡，支持基于STA/SSID/AP的限速；</w:t>
            </w:r>
          </w:p>
        </w:tc>
        <w:tc>
          <w:tcPr>
            <w:tcW w:w="1300" w:type="dxa"/>
            <w:shd w:val="clear" w:color="auto" w:fill="auto"/>
            <w:noWrap/>
            <w:vAlign w:val="center"/>
          </w:tcPr>
          <w:p w14:paraId="7BED9644">
            <w:pPr>
              <w:rPr>
                <w:rFonts w:hint="eastAsia"/>
                <w:color w:val="000000"/>
                <w:sz w:val="20"/>
                <w:szCs w:val="20"/>
              </w:rPr>
            </w:pPr>
            <w:r>
              <w:rPr>
                <w:rFonts w:hint="eastAsia"/>
                <w:color w:val="000000"/>
                <w:sz w:val="20"/>
                <w:szCs w:val="20"/>
              </w:rPr>
              <w:t>　</w:t>
            </w:r>
          </w:p>
        </w:tc>
      </w:tr>
      <w:tr w14:paraId="70EE2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80" w:type="dxa"/>
            <w:vMerge w:val="continue"/>
            <w:shd w:val="clear" w:color="auto" w:fill="auto"/>
            <w:noWrap w:val="0"/>
            <w:vAlign w:val="center"/>
          </w:tcPr>
          <w:p w14:paraId="4B1E472D">
            <w:pPr>
              <w:rPr>
                <w:color w:val="000000"/>
                <w:sz w:val="20"/>
                <w:szCs w:val="20"/>
              </w:rPr>
            </w:pPr>
          </w:p>
        </w:tc>
        <w:tc>
          <w:tcPr>
            <w:tcW w:w="1580" w:type="dxa"/>
            <w:vMerge w:val="continue"/>
            <w:shd w:val="clear" w:color="auto" w:fill="auto"/>
            <w:noWrap w:val="0"/>
            <w:vAlign w:val="center"/>
          </w:tcPr>
          <w:p w14:paraId="2592B29B">
            <w:pPr>
              <w:rPr>
                <w:color w:val="000000"/>
                <w:sz w:val="20"/>
                <w:szCs w:val="20"/>
              </w:rPr>
            </w:pPr>
          </w:p>
        </w:tc>
        <w:tc>
          <w:tcPr>
            <w:tcW w:w="4830" w:type="dxa"/>
            <w:shd w:val="clear" w:color="auto" w:fill="auto"/>
            <w:noWrap w:val="0"/>
            <w:vAlign w:val="center"/>
          </w:tcPr>
          <w:p w14:paraId="1050BA69">
            <w:pPr>
              <w:rPr>
                <w:rFonts w:hint="eastAsia"/>
                <w:color w:val="000000"/>
                <w:sz w:val="20"/>
                <w:szCs w:val="20"/>
              </w:rPr>
            </w:pPr>
            <w:r>
              <w:rPr>
                <w:rFonts w:hint="eastAsia"/>
                <w:color w:val="000000"/>
                <w:sz w:val="20"/>
                <w:szCs w:val="20"/>
              </w:rPr>
              <w:t>14.为了保障网络中关键用户、应用的无线体验，需要实现关键用户、应用的优先保障；</w:t>
            </w:r>
          </w:p>
        </w:tc>
        <w:tc>
          <w:tcPr>
            <w:tcW w:w="1300" w:type="dxa"/>
            <w:shd w:val="clear" w:color="auto" w:fill="auto"/>
            <w:noWrap/>
            <w:vAlign w:val="center"/>
          </w:tcPr>
          <w:p w14:paraId="43CD3C68">
            <w:pPr>
              <w:rPr>
                <w:rFonts w:hint="eastAsia"/>
                <w:color w:val="000000"/>
                <w:sz w:val="20"/>
                <w:szCs w:val="20"/>
              </w:rPr>
            </w:pPr>
            <w:r>
              <w:rPr>
                <w:rFonts w:hint="eastAsia"/>
                <w:color w:val="000000"/>
                <w:sz w:val="20"/>
                <w:szCs w:val="20"/>
              </w:rPr>
              <w:t>　</w:t>
            </w:r>
          </w:p>
        </w:tc>
      </w:tr>
      <w:tr w14:paraId="05748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80" w:type="dxa"/>
            <w:vMerge w:val="continue"/>
            <w:shd w:val="clear" w:color="auto" w:fill="auto"/>
            <w:noWrap w:val="0"/>
            <w:vAlign w:val="center"/>
          </w:tcPr>
          <w:p w14:paraId="6EA0B1EB">
            <w:pPr>
              <w:rPr>
                <w:color w:val="000000"/>
                <w:sz w:val="20"/>
                <w:szCs w:val="20"/>
              </w:rPr>
            </w:pPr>
          </w:p>
        </w:tc>
        <w:tc>
          <w:tcPr>
            <w:tcW w:w="1580" w:type="dxa"/>
            <w:vMerge w:val="continue"/>
            <w:shd w:val="clear" w:color="auto" w:fill="auto"/>
            <w:noWrap w:val="0"/>
            <w:vAlign w:val="center"/>
          </w:tcPr>
          <w:p w14:paraId="208221F7">
            <w:pPr>
              <w:rPr>
                <w:color w:val="000000"/>
                <w:sz w:val="20"/>
                <w:szCs w:val="20"/>
              </w:rPr>
            </w:pPr>
          </w:p>
        </w:tc>
        <w:tc>
          <w:tcPr>
            <w:tcW w:w="4830" w:type="dxa"/>
            <w:shd w:val="clear" w:color="auto" w:fill="auto"/>
            <w:noWrap w:val="0"/>
            <w:vAlign w:val="center"/>
          </w:tcPr>
          <w:p w14:paraId="591C5103">
            <w:pPr>
              <w:rPr>
                <w:rFonts w:hint="eastAsia"/>
                <w:color w:val="000000"/>
                <w:sz w:val="20"/>
                <w:szCs w:val="20"/>
              </w:rPr>
            </w:pPr>
            <w:r>
              <w:rPr>
                <w:rFonts w:hint="eastAsia"/>
                <w:color w:val="000000"/>
                <w:sz w:val="20"/>
                <w:szCs w:val="20"/>
              </w:rPr>
              <w:t>15.数据加密支持WPA（TKIP）、WPA-PSK、WPA2（AES）、WPA3、WEP（64/128位）；</w:t>
            </w:r>
          </w:p>
        </w:tc>
        <w:tc>
          <w:tcPr>
            <w:tcW w:w="1300" w:type="dxa"/>
            <w:shd w:val="clear" w:color="auto" w:fill="auto"/>
            <w:noWrap/>
            <w:vAlign w:val="center"/>
          </w:tcPr>
          <w:p w14:paraId="59E18FCB">
            <w:pPr>
              <w:rPr>
                <w:rFonts w:hint="eastAsia"/>
                <w:color w:val="000000"/>
                <w:sz w:val="20"/>
                <w:szCs w:val="20"/>
              </w:rPr>
            </w:pPr>
            <w:r>
              <w:rPr>
                <w:rFonts w:hint="eastAsia"/>
                <w:color w:val="000000"/>
                <w:sz w:val="20"/>
                <w:szCs w:val="20"/>
              </w:rPr>
              <w:t>　</w:t>
            </w:r>
          </w:p>
        </w:tc>
      </w:tr>
      <w:tr w14:paraId="4B15F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80" w:type="dxa"/>
            <w:vMerge w:val="continue"/>
            <w:shd w:val="clear" w:color="auto" w:fill="auto"/>
            <w:noWrap w:val="0"/>
            <w:vAlign w:val="center"/>
          </w:tcPr>
          <w:p w14:paraId="43CEE7EB">
            <w:pPr>
              <w:rPr>
                <w:color w:val="000000"/>
                <w:sz w:val="20"/>
                <w:szCs w:val="20"/>
              </w:rPr>
            </w:pPr>
          </w:p>
        </w:tc>
        <w:tc>
          <w:tcPr>
            <w:tcW w:w="1580" w:type="dxa"/>
            <w:vMerge w:val="continue"/>
            <w:shd w:val="clear" w:color="auto" w:fill="auto"/>
            <w:noWrap w:val="0"/>
            <w:vAlign w:val="center"/>
          </w:tcPr>
          <w:p w14:paraId="0819F603">
            <w:pPr>
              <w:rPr>
                <w:color w:val="000000"/>
                <w:sz w:val="20"/>
                <w:szCs w:val="20"/>
              </w:rPr>
            </w:pPr>
          </w:p>
        </w:tc>
        <w:tc>
          <w:tcPr>
            <w:tcW w:w="4830" w:type="dxa"/>
            <w:shd w:val="clear" w:color="auto" w:fill="auto"/>
            <w:noWrap w:val="0"/>
            <w:vAlign w:val="center"/>
          </w:tcPr>
          <w:p w14:paraId="66C3DAE2">
            <w:pPr>
              <w:rPr>
                <w:rFonts w:hint="eastAsia"/>
                <w:color w:val="000000"/>
                <w:sz w:val="20"/>
                <w:szCs w:val="20"/>
              </w:rPr>
            </w:pPr>
            <w:r>
              <w:rPr>
                <w:rFonts w:hint="eastAsia"/>
                <w:color w:val="000000"/>
                <w:sz w:val="20"/>
                <w:szCs w:val="20"/>
              </w:rPr>
              <w:t>16.数据帧过滤支持白名单、静态黑名单、动态黑名单；</w:t>
            </w:r>
          </w:p>
        </w:tc>
        <w:tc>
          <w:tcPr>
            <w:tcW w:w="1300" w:type="dxa"/>
            <w:shd w:val="clear" w:color="auto" w:fill="auto"/>
            <w:noWrap/>
            <w:vAlign w:val="center"/>
          </w:tcPr>
          <w:p w14:paraId="5293AC9E">
            <w:pPr>
              <w:rPr>
                <w:rFonts w:hint="eastAsia"/>
                <w:color w:val="000000"/>
                <w:sz w:val="20"/>
                <w:szCs w:val="20"/>
              </w:rPr>
            </w:pPr>
            <w:r>
              <w:rPr>
                <w:rFonts w:hint="eastAsia"/>
                <w:color w:val="000000"/>
                <w:sz w:val="20"/>
                <w:szCs w:val="20"/>
              </w:rPr>
              <w:t>　</w:t>
            </w:r>
          </w:p>
        </w:tc>
      </w:tr>
      <w:tr w14:paraId="40C24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0" w:type="dxa"/>
            <w:vMerge w:val="continue"/>
            <w:shd w:val="clear" w:color="auto" w:fill="auto"/>
            <w:noWrap w:val="0"/>
            <w:vAlign w:val="center"/>
          </w:tcPr>
          <w:p w14:paraId="2F2C77A3">
            <w:pPr>
              <w:rPr>
                <w:color w:val="000000"/>
                <w:sz w:val="20"/>
                <w:szCs w:val="20"/>
              </w:rPr>
            </w:pPr>
          </w:p>
        </w:tc>
        <w:tc>
          <w:tcPr>
            <w:tcW w:w="1580" w:type="dxa"/>
            <w:vMerge w:val="continue"/>
            <w:shd w:val="clear" w:color="auto" w:fill="auto"/>
            <w:noWrap w:val="0"/>
            <w:vAlign w:val="center"/>
          </w:tcPr>
          <w:p w14:paraId="12475F4A">
            <w:pPr>
              <w:rPr>
                <w:color w:val="000000"/>
                <w:sz w:val="20"/>
                <w:szCs w:val="20"/>
              </w:rPr>
            </w:pPr>
          </w:p>
        </w:tc>
        <w:tc>
          <w:tcPr>
            <w:tcW w:w="4830" w:type="dxa"/>
            <w:shd w:val="clear" w:color="auto" w:fill="auto"/>
            <w:noWrap w:val="0"/>
            <w:vAlign w:val="center"/>
          </w:tcPr>
          <w:p w14:paraId="574EB104">
            <w:pPr>
              <w:rPr>
                <w:rFonts w:hint="eastAsia"/>
                <w:color w:val="000000"/>
                <w:sz w:val="20"/>
                <w:szCs w:val="20"/>
              </w:rPr>
            </w:pPr>
            <w:r>
              <w:rPr>
                <w:rFonts w:hint="eastAsia"/>
                <w:color w:val="000000"/>
                <w:sz w:val="20"/>
                <w:szCs w:val="20"/>
              </w:rPr>
              <w:t>17.支持用户隔离；</w:t>
            </w:r>
          </w:p>
        </w:tc>
        <w:tc>
          <w:tcPr>
            <w:tcW w:w="1300" w:type="dxa"/>
            <w:shd w:val="clear" w:color="auto" w:fill="auto"/>
            <w:noWrap/>
            <w:vAlign w:val="center"/>
          </w:tcPr>
          <w:p w14:paraId="466C9F9D">
            <w:pPr>
              <w:rPr>
                <w:rFonts w:hint="eastAsia"/>
                <w:color w:val="000000"/>
                <w:sz w:val="20"/>
                <w:szCs w:val="20"/>
              </w:rPr>
            </w:pPr>
            <w:r>
              <w:rPr>
                <w:rFonts w:hint="eastAsia"/>
                <w:color w:val="000000"/>
                <w:sz w:val="20"/>
                <w:szCs w:val="20"/>
              </w:rPr>
              <w:t>　</w:t>
            </w:r>
          </w:p>
        </w:tc>
      </w:tr>
      <w:tr w14:paraId="31DE7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80" w:type="dxa"/>
            <w:vMerge w:val="continue"/>
            <w:shd w:val="clear" w:color="auto" w:fill="auto"/>
            <w:noWrap w:val="0"/>
            <w:vAlign w:val="center"/>
          </w:tcPr>
          <w:p w14:paraId="79AB6DE6">
            <w:pPr>
              <w:rPr>
                <w:color w:val="000000"/>
                <w:sz w:val="20"/>
                <w:szCs w:val="20"/>
              </w:rPr>
            </w:pPr>
          </w:p>
        </w:tc>
        <w:tc>
          <w:tcPr>
            <w:tcW w:w="1580" w:type="dxa"/>
            <w:vMerge w:val="continue"/>
            <w:shd w:val="clear" w:color="auto" w:fill="auto"/>
            <w:noWrap w:val="0"/>
            <w:vAlign w:val="center"/>
          </w:tcPr>
          <w:p w14:paraId="7C1ACCF3">
            <w:pPr>
              <w:rPr>
                <w:color w:val="000000"/>
                <w:sz w:val="20"/>
                <w:szCs w:val="20"/>
              </w:rPr>
            </w:pPr>
          </w:p>
        </w:tc>
        <w:tc>
          <w:tcPr>
            <w:tcW w:w="4830" w:type="dxa"/>
            <w:shd w:val="clear" w:color="auto" w:fill="auto"/>
            <w:noWrap w:val="0"/>
            <w:vAlign w:val="center"/>
          </w:tcPr>
          <w:p w14:paraId="6A3CA9A0">
            <w:pPr>
              <w:rPr>
                <w:rFonts w:hint="eastAsia"/>
                <w:color w:val="FF0000"/>
                <w:sz w:val="20"/>
                <w:szCs w:val="20"/>
              </w:rPr>
            </w:pPr>
            <w:r>
              <w:rPr>
                <w:rFonts w:hint="eastAsia"/>
                <w:color w:val="FF0000"/>
                <w:sz w:val="20"/>
                <w:szCs w:val="20"/>
              </w:rPr>
              <w:t>▲18.为避免无线网络中私接非法 AP，所投AP 支持额外的一个独立射频，具有非法AP的检测、精确反制和模糊反制功能，令非法设备不能使用；</w:t>
            </w:r>
          </w:p>
        </w:tc>
        <w:tc>
          <w:tcPr>
            <w:tcW w:w="1300" w:type="dxa"/>
            <w:shd w:val="clear" w:color="auto" w:fill="auto"/>
            <w:noWrap/>
            <w:vAlign w:val="center"/>
          </w:tcPr>
          <w:p w14:paraId="4E8C806A">
            <w:pPr>
              <w:rPr>
                <w:rFonts w:hint="eastAsia"/>
                <w:color w:val="000000"/>
                <w:sz w:val="20"/>
                <w:szCs w:val="20"/>
              </w:rPr>
            </w:pPr>
            <w:r>
              <w:rPr>
                <w:rFonts w:hint="eastAsia"/>
                <w:color w:val="000000"/>
                <w:sz w:val="20"/>
                <w:szCs w:val="20"/>
              </w:rPr>
              <w:t>　</w:t>
            </w:r>
          </w:p>
        </w:tc>
      </w:tr>
      <w:tr w14:paraId="73399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0" w:type="dxa"/>
            <w:vMerge w:val="continue"/>
            <w:shd w:val="clear" w:color="auto" w:fill="auto"/>
            <w:noWrap w:val="0"/>
            <w:vAlign w:val="center"/>
          </w:tcPr>
          <w:p w14:paraId="46820D09">
            <w:pPr>
              <w:rPr>
                <w:color w:val="000000"/>
                <w:sz w:val="20"/>
                <w:szCs w:val="20"/>
              </w:rPr>
            </w:pPr>
          </w:p>
        </w:tc>
        <w:tc>
          <w:tcPr>
            <w:tcW w:w="1580" w:type="dxa"/>
            <w:vMerge w:val="continue"/>
            <w:shd w:val="clear" w:color="auto" w:fill="auto"/>
            <w:noWrap w:val="0"/>
            <w:vAlign w:val="center"/>
          </w:tcPr>
          <w:p w14:paraId="2382AE62">
            <w:pPr>
              <w:rPr>
                <w:color w:val="000000"/>
                <w:sz w:val="20"/>
                <w:szCs w:val="20"/>
              </w:rPr>
            </w:pPr>
          </w:p>
        </w:tc>
        <w:tc>
          <w:tcPr>
            <w:tcW w:w="4830" w:type="dxa"/>
            <w:shd w:val="clear" w:color="auto" w:fill="auto"/>
            <w:noWrap w:val="0"/>
            <w:vAlign w:val="center"/>
          </w:tcPr>
          <w:p w14:paraId="17CEBAE5">
            <w:pPr>
              <w:rPr>
                <w:rFonts w:hint="eastAsia"/>
                <w:color w:val="000000"/>
                <w:sz w:val="20"/>
                <w:szCs w:val="20"/>
              </w:rPr>
            </w:pPr>
            <w:r>
              <w:rPr>
                <w:rFonts w:hint="eastAsia"/>
                <w:color w:val="000000"/>
                <w:sz w:val="20"/>
                <w:szCs w:val="20"/>
              </w:rPr>
              <w:t>19.支持通过Telnet、TFTP管理、Web管理；</w:t>
            </w:r>
          </w:p>
        </w:tc>
        <w:tc>
          <w:tcPr>
            <w:tcW w:w="1300" w:type="dxa"/>
            <w:shd w:val="clear" w:color="auto" w:fill="auto"/>
            <w:noWrap/>
            <w:vAlign w:val="center"/>
          </w:tcPr>
          <w:p w14:paraId="073E5D2F">
            <w:pPr>
              <w:rPr>
                <w:rFonts w:hint="eastAsia"/>
                <w:color w:val="000000"/>
                <w:sz w:val="20"/>
                <w:szCs w:val="20"/>
              </w:rPr>
            </w:pPr>
            <w:r>
              <w:rPr>
                <w:rFonts w:hint="eastAsia"/>
                <w:color w:val="000000"/>
                <w:sz w:val="20"/>
                <w:szCs w:val="20"/>
              </w:rPr>
              <w:t>　</w:t>
            </w:r>
          </w:p>
        </w:tc>
      </w:tr>
      <w:tr w14:paraId="6774E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0" w:type="dxa"/>
            <w:vMerge w:val="continue"/>
            <w:shd w:val="clear" w:color="auto" w:fill="auto"/>
            <w:noWrap w:val="0"/>
            <w:vAlign w:val="center"/>
          </w:tcPr>
          <w:p w14:paraId="60F2C962">
            <w:pPr>
              <w:rPr>
                <w:color w:val="000000"/>
                <w:sz w:val="20"/>
                <w:szCs w:val="20"/>
              </w:rPr>
            </w:pPr>
          </w:p>
        </w:tc>
        <w:tc>
          <w:tcPr>
            <w:tcW w:w="1580" w:type="dxa"/>
            <w:vMerge w:val="continue"/>
            <w:shd w:val="clear" w:color="auto" w:fill="auto"/>
            <w:noWrap w:val="0"/>
            <w:vAlign w:val="center"/>
          </w:tcPr>
          <w:p w14:paraId="1B72688C">
            <w:pPr>
              <w:rPr>
                <w:color w:val="000000"/>
                <w:sz w:val="20"/>
                <w:szCs w:val="20"/>
              </w:rPr>
            </w:pPr>
          </w:p>
        </w:tc>
        <w:tc>
          <w:tcPr>
            <w:tcW w:w="4830" w:type="dxa"/>
            <w:shd w:val="clear" w:color="auto" w:fill="auto"/>
            <w:noWrap w:val="0"/>
            <w:vAlign w:val="center"/>
          </w:tcPr>
          <w:p w14:paraId="3758802D">
            <w:pPr>
              <w:rPr>
                <w:rFonts w:hint="eastAsia"/>
                <w:color w:val="000000"/>
                <w:sz w:val="20"/>
                <w:szCs w:val="20"/>
              </w:rPr>
            </w:pPr>
            <w:r>
              <w:rPr>
                <w:rFonts w:hint="eastAsia"/>
                <w:color w:val="000000"/>
                <w:sz w:val="20"/>
                <w:szCs w:val="20"/>
              </w:rPr>
              <w:t>20.支持信息统计及日志；</w:t>
            </w:r>
          </w:p>
        </w:tc>
        <w:tc>
          <w:tcPr>
            <w:tcW w:w="1300" w:type="dxa"/>
            <w:shd w:val="clear" w:color="auto" w:fill="auto"/>
            <w:noWrap/>
            <w:vAlign w:val="center"/>
          </w:tcPr>
          <w:p w14:paraId="33A67DFB">
            <w:pPr>
              <w:rPr>
                <w:rFonts w:hint="eastAsia"/>
                <w:color w:val="000000"/>
                <w:sz w:val="20"/>
                <w:szCs w:val="20"/>
              </w:rPr>
            </w:pPr>
            <w:r>
              <w:rPr>
                <w:rFonts w:hint="eastAsia"/>
                <w:color w:val="000000"/>
                <w:sz w:val="20"/>
                <w:szCs w:val="20"/>
              </w:rPr>
              <w:t>　</w:t>
            </w:r>
          </w:p>
        </w:tc>
      </w:tr>
      <w:tr w14:paraId="1CBE7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80" w:type="dxa"/>
            <w:vMerge w:val="continue"/>
            <w:shd w:val="clear" w:color="auto" w:fill="auto"/>
            <w:noWrap w:val="0"/>
            <w:vAlign w:val="center"/>
          </w:tcPr>
          <w:p w14:paraId="6527196E">
            <w:pPr>
              <w:rPr>
                <w:color w:val="000000"/>
                <w:sz w:val="20"/>
                <w:szCs w:val="20"/>
              </w:rPr>
            </w:pPr>
          </w:p>
        </w:tc>
        <w:tc>
          <w:tcPr>
            <w:tcW w:w="1580" w:type="dxa"/>
            <w:vMerge w:val="continue"/>
            <w:shd w:val="clear" w:color="auto" w:fill="auto"/>
            <w:noWrap w:val="0"/>
            <w:vAlign w:val="center"/>
          </w:tcPr>
          <w:p w14:paraId="350EBB56">
            <w:pPr>
              <w:rPr>
                <w:color w:val="000000"/>
                <w:sz w:val="20"/>
                <w:szCs w:val="20"/>
              </w:rPr>
            </w:pPr>
          </w:p>
        </w:tc>
        <w:tc>
          <w:tcPr>
            <w:tcW w:w="4830" w:type="dxa"/>
            <w:shd w:val="clear" w:color="auto" w:fill="auto"/>
            <w:noWrap w:val="0"/>
            <w:vAlign w:val="center"/>
          </w:tcPr>
          <w:p w14:paraId="3FC0C869">
            <w:pPr>
              <w:rPr>
                <w:rFonts w:hint="eastAsia"/>
                <w:color w:val="FF0000"/>
                <w:sz w:val="20"/>
                <w:szCs w:val="20"/>
              </w:rPr>
            </w:pPr>
            <w:r>
              <w:rPr>
                <w:rFonts w:hint="eastAsia"/>
                <w:color w:val="FF0000"/>
                <w:sz w:val="20"/>
                <w:szCs w:val="20"/>
              </w:rPr>
              <w:t>▲21.当AP工作在Fit（瘦）模式时，可通过AC系列无线控制器切换为Fat模式；当AP工作在Fat（胖）模式时，可通过本地控制口、Telnet方式切换为Fit模式。</w:t>
            </w:r>
          </w:p>
        </w:tc>
        <w:tc>
          <w:tcPr>
            <w:tcW w:w="1300" w:type="dxa"/>
            <w:shd w:val="clear" w:color="auto" w:fill="auto"/>
            <w:noWrap/>
            <w:vAlign w:val="center"/>
          </w:tcPr>
          <w:p w14:paraId="3D452E53">
            <w:pPr>
              <w:rPr>
                <w:rFonts w:hint="eastAsia"/>
                <w:color w:val="000000"/>
                <w:sz w:val="20"/>
                <w:szCs w:val="20"/>
              </w:rPr>
            </w:pPr>
            <w:r>
              <w:rPr>
                <w:rFonts w:hint="eastAsia"/>
                <w:color w:val="000000"/>
                <w:sz w:val="20"/>
                <w:szCs w:val="20"/>
              </w:rPr>
              <w:t>　</w:t>
            </w:r>
          </w:p>
        </w:tc>
      </w:tr>
      <w:tr w14:paraId="3C7C2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80" w:type="dxa"/>
            <w:vMerge w:val="restart"/>
            <w:shd w:val="clear" w:color="auto" w:fill="auto"/>
            <w:noWrap/>
            <w:vAlign w:val="center"/>
          </w:tcPr>
          <w:p w14:paraId="300D33B8">
            <w:pPr>
              <w:jc w:val="center"/>
              <w:rPr>
                <w:rFonts w:hint="eastAsia"/>
                <w:color w:val="000000"/>
                <w:sz w:val="20"/>
                <w:szCs w:val="20"/>
              </w:rPr>
            </w:pPr>
            <w:r>
              <w:rPr>
                <w:rFonts w:hint="eastAsia"/>
                <w:color w:val="000000"/>
                <w:sz w:val="20"/>
                <w:szCs w:val="20"/>
              </w:rPr>
              <w:t>6</w:t>
            </w:r>
          </w:p>
        </w:tc>
        <w:tc>
          <w:tcPr>
            <w:tcW w:w="1580" w:type="dxa"/>
            <w:vMerge w:val="restart"/>
            <w:shd w:val="clear" w:color="auto" w:fill="auto"/>
            <w:noWrap/>
            <w:vAlign w:val="center"/>
          </w:tcPr>
          <w:p w14:paraId="50F7ABEE">
            <w:pPr>
              <w:jc w:val="center"/>
              <w:rPr>
                <w:rFonts w:hint="eastAsia"/>
                <w:color w:val="000000"/>
                <w:sz w:val="20"/>
                <w:szCs w:val="20"/>
              </w:rPr>
            </w:pPr>
            <w:r>
              <w:rPr>
                <w:rFonts w:hint="eastAsia"/>
                <w:color w:val="000000"/>
                <w:sz w:val="20"/>
                <w:szCs w:val="20"/>
              </w:rPr>
              <w:t>面板AP</w:t>
            </w:r>
          </w:p>
        </w:tc>
        <w:tc>
          <w:tcPr>
            <w:tcW w:w="4830" w:type="dxa"/>
            <w:shd w:val="clear" w:color="auto" w:fill="auto"/>
            <w:noWrap w:val="0"/>
            <w:vAlign w:val="center"/>
          </w:tcPr>
          <w:p w14:paraId="5E09E65E">
            <w:pPr>
              <w:rPr>
                <w:rFonts w:hint="eastAsia"/>
                <w:color w:val="000000"/>
                <w:sz w:val="20"/>
                <w:szCs w:val="20"/>
              </w:rPr>
            </w:pPr>
            <w:r>
              <w:rPr>
                <w:rFonts w:hint="eastAsia"/>
                <w:color w:val="000000"/>
                <w:sz w:val="20"/>
                <w:szCs w:val="20"/>
              </w:rPr>
              <w:t>1.Wi-Fi 7双射频通用级面板型无线接入点，支持802.11be标准，采用双射频设计，整机空间流≥4条；</w:t>
            </w:r>
          </w:p>
        </w:tc>
        <w:tc>
          <w:tcPr>
            <w:tcW w:w="1300" w:type="dxa"/>
            <w:shd w:val="clear" w:color="auto" w:fill="auto"/>
            <w:noWrap/>
            <w:vAlign w:val="center"/>
          </w:tcPr>
          <w:p w14:paraId="71E64C8C">
            <w:pPr>
              <w:rPr>
                <w:rFonts w:hint="eastAsia"/>
                <w:color w:val="000000"/>
                <w:sz w:val="20"/>
                <w:szCs w:val="20"/>
              </w:rPr>
            </w:pPr>
            <w:r>
              <w:rPr>
                <w:rFonts w:hint="eastAsia"/>
                <w:color w:val="000000"/>
                <w:sz w:val="20"/>
                <w:szCs w:val="20"/>
              </w:rPr>
              <w:t>　</w:t>
            </w:r>
          </w:p>
        </w:tc>
      </w:tr>
      <w:tr w14:paraId="77A15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0" w:type="dxa"/>
            <w:vMerge w:val="continue"/>
            <w:shd w:val="clear" w:color="auto" w:fill="auto"/>
            <w:noWrap w:val="0"/>
            <w:vAlign w:val="center"/>
          </w:tcPr>
          <w:p w14:paraId="79AF3A8B">
            <w:pPr>
              <w:rPr>
                <w:color w:val="000000"/>
                <w:sz w:val="20"/>
                <w:szCs w:val="20"/>
              </w:rPr>
            </w:pPr>
          </w:p>
        </w:tc>
        <w:tc>
          <w:tcPr>
            <w:tcW w:w="1580" w:type="dxa"/>
            <w:vMerge w:val="continue"/>
            <w:shd w:val="clear" w:color="auto" w:fill="auto"/>
            <w:noWrap w:val="0"/>
            <w:vAlign w:val="center"/>
          </w:tcPr>
          <w:p w14:paraId="6DD3F51E">
            <w:pPr>
              <w:rPr>
                <w:color w:val="000000"/>
                <w:sz w:val="20"/>
                <w:szCs w:val="20"/>
              </w:rPr>
            </w:pPr>
          </w:p>
        </w:tc>
        <w:tc>
          <w:tcPr>
            <w:tcW w:w="4830" w:type="dxa"/>
            <w:shd w:val="clear" w:color="auto" w:fill="auto"/>
            <w:noWrap w:val="0"/>
            <w:vAlign w:val="center"/>
          </w:tcPr>
          <w:p w14:paraId="35126A8A">
            <w:pPr>
              <w:rPr>
                <w:rFonts w:hint="eastAsia"/>
                <w:color w:val="000000"/>
                <w:sz w:val="20"/>
                <w:szCs w:val="20"/>
              </w:rPr>
            </w:pPr>
            <w:r>
              <w:rPr>
                <w:rFonts w:hint="eastAsia"/>
                <w:color w:val="000000"/>
                <w:sz w:val="20"/>
                <w:szCs w:val="20"/>
              </w:rPr>
              <w:t>2.整机最大接入速率≥3.57Gbps；</w:t>
            </w:r>
          </w:p>
        </w:tc>
        <w:tc>
          <w:tcPr>
            <w:tcW w:w="1300" w:type="dxa"/>
            <w:shd w:val="clear" w:color="auto" w:fill="auto"/>
            <w:noWrap/>
            <w:vAlign w:val="center"/>
          </w:tcPr>
          <w:p w14:paraId="60770F83">
            <w:pPr>
              <w:rPr>
                <w:rFonts w:hint="eastAsia"/>
                <w:color w:val="000000"/>
                <w:sz w:val="20"/>
                <w:szCs w:val="20"/>
              </w:rPr>
            </w:pPr>
            <w:r>
              <w:rPr>
                <w:rFonts w:hint="eastAsia"/>
                <w:color w:val="000000"/>
                <w:sz w:val="20"/>
                <w:szCs w:val="20"/>
              </w:rPr>
              <w:t>　</w:t>
            </w:r>
          </w:p>
        </w:tc>
      </w:tr>
      <w:tr w14:paraId="4056C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0" w:type="dxa"/>
            <w:vMerge w:val="continue"/>
            <w:shd w:val="clear" w:color="auto" w:fill="auto"/>
            <w:noWrap w:val="0"/>
            <w:vAlign w:val="center"/>
          </w:tcPr>
          <w:p w14:paraId="15C24425">
            <w:pPr>
              <w:rPr>
                <w:color w:val="000000"/>
                <w:sz w:val="20"/>
                <w:szCs w:val="20"/>
              </w:rPr>
            </w:pPr>
          </w:p>
        </w:tc>
        <w:tc>
          <w:tcPr>
            <w:tcW w:w="1580" w:type="dxa"/>
            <w:vMerge w:val="continue"/>
            <w:shd w:val="clear" w:color="auto" w:fill="auto"/>
            <w:noWrap w:val="0"/>
            <w:vAlign w:val="center"/>
          </w:tcPr>
          <w:p w14:paraId="54DF315B">
            <w:pPr>
              <w:rPr>
                <w:color w:val="000000"/>
                <w:sz w:val="20"/>
                <w:szCs w:val="20"/>
              </w:rPr>
            </w:pPr>
          </w:p>
        </w:tc>
        <w:tc>
          <w:tcPr>
            <w:tcW w:w="4830" w:type="dxa"/>
            <w:shd w:val="clear" w:color="auto" w:fill="auto"/>
            <w:noWrap w:val="0"/>
            <w:vAlign w:val="center"/>
          </w:tcPr>
          <w:p w14:paraId="272C9705">
            <w:pPr>
              <w:rPr>
                <w:rFonts w:hint="eastAsia"/>
                <w:color w:val="000000"/>
                <w:sz w:val="20"/>
                <w:szCs w:val="20"/>
              </w:rPr>
            </w:pPr>
            <w:r>
              <w:rPr>
                <w:rFonts w:hint="eastAsia"/>
                <w:color w:val="000000"/>
                <w:sz w:val="20"/>
                <w:szCs w:val="20"/>
              </w:rPr>
              <w:t>3.面板型AP，支持嵌入86面板安装方式；</w:t>
            </w:r>
          </w:p>
        </w:tc>
        <w:tc>
          <w:tcPr>
            <w:tcW w:w="1300" w:type="dxa"/>
            <w:shd w:val="clear" w:color="auto" w:fill="auto"/>
            <w:noWrap/>
            <w:vAlign w:val="center"/>
          </w:tcPr>
          <w:p w14:paraId="7BC545D8">
            <w:pPr>
              <w:rPr>
                <w:rFonts w:hint="eastAsia"/>
                <w:color w:val="000000"/>
                <w:sz w:val="20"/>
                <w:szCs w:val="20"/>
              </w:rPr>
            </w:pPr>
            <w:r>
              <w:rPr>
                <w:rFonts w:hint="eastAsia"/>
                <w:color w:val="000000"/>
                <w:sz w:val="20"/>
                <w:szCs w:val="20"/>
              </w:rPr>
              <w:t>　</w:t>
            </w:r>
          </w:p>
        </w:tc>
      </w:tr>
      <w:tr w14:paraId="39E92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80" w:type="dxa"/>
            <w:vMerge w:val="continue"/>
            <w:shd w:val="clear" w:color="auto" w:fill="auto"/>
            <w:noWrap w:val="0"/>
            <w:vAlign w:val="center"/>
          </w:tcPr>
          <w:p w14:paraId="145C3CE9">
            <w:pPr>
              <w:rPr>
                <w:color w:val="000000"/>
                <w:sz w:val="20"/>
                <w:szCs w:val="20"/>
              </w:rPr>
            </w:pPr>
          </w:p>
        </w:tc>
        <w:tc>
          <w:tcPr>
            <w:tcW w:w="1580" w:type="dxa"/>
            <w:vMerge w:val="continue"/>
            <w:shd w:val="clear" w:color="auto" w:fill="auto"/>
            <w:noWrap w:val="0"/>
            <w:vAlign w:val="center"/>
          </w:tcPr>
          <w:p w14:paraId="4D134D8E">
            <w:pPr>
              <w:rPr>
                <w:color w:val="000000"/>
                <w:sz w:val="20"/>
                <w:szCs w:val="20"/>
              </w:rPr>
            </w:pPr>
          </w:p>
        </w:tc>
        <w:tc>
          <w:tcPr>
            <w:tcW w:w="4830" w:type="dxa"/>
            <w:shd w:val="clear" w:color="auto" w:fill="auto"/>
            <w:noWrap w:val="0"/>
            <w:vAlign w:val="center"/>
          </w:tcPr>
          <w:p w14:paraId="2D15A439">
            <w:pPr>
              <w:rPr>
                <w:rFonts w:hint="eastAsia"/>
                <w:color w:val="000000"/>
                <w:sz w:val="20"/>
                <w:szCs w:val="20"/>
              </w:rPr>
            </w:pPr>
            <w:r>
              <w:rPr>
                <w:rFonts w:hint="eastAsia"/>
                <w:color w:val="000000"/>
                <w:sz w:val="20"/>
                <w:szCs w:val="20"/>
              </w:rPr>
              <w:t>4.2.5G以太网电口上联口≥1个，1G以太网电口下联口≥4个；</w:t>
            </w:r>
          </w:p>
        </w:tc>
        <w:tc>
          <w:tcPr>
            <w:tcW w:w="1300" w:type="dxa"/>
            <w:shd w:val="clear" w:color="auto" w:fill="auto"/>
            <w:noWrap/>
            <w:vAlign w:val="center"/>
          </w:tcPr>
          <w:p w14:paraId="71D46CF1">
            <w:pPr>
              <w:rPr>
                <w:rFonts w:hint="eastAsia"/>
                <w:color w:val="000000"/>
                <w:sz w:val="20"/>
                <w:szCs w:val="20"/>
              </w:rPr>
            </w:pPr>
            <w:r>
              <w:rPr>
                <w:rFonts w:hint="eastAsia"/>
                <w:color w:val="000000"/>
                <w:sz w:val="20"/>
                <w:szCs w:val="20"/>
              </w:rPr>
              <w:t>　</w:t>
            </w:r>
          </w:p>
        </w:tc>
      </w:tr>
      <w:tr w14:paraId="0F42D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0" w:type="dxa"/>
            <w:vMerge w:val="continue"/>
            <w:shd w:val="clear" w:color="auto" w:fill="auto"/>
            <w:noWrap w:val="0"/>
            <w:vAlign w:val="center"/>
          </w:tcPr>
          <w:p w14:paraId="4018D361">
            <w:pPr>
              <w:rPr>
                <w:color w:val="000000"/>
                <w:sz w:val="20"/>
                <w:szCs w:val="20"/>
              </w:rPr>
            </w:pPr>
          </w:p>
        </w:tc>
        <w:tc>
          <w:tcPr>
            <w:tcW w:w="1580" w:type="dxa"/>
            <w:vMerge w:val="continue"/>
            <w:shd w:val="clear" w:color="auto" w:fill="auto"/>
            <w:noWrap w:val="0"/>
            <w:vAlign w:val="center"/>
          </w:tcPr>
          <w:p w14:paraId="14B14C5F">
            <w:pPr>
              <w:rPr>
                <w:color w:val="000000"/>
                <w:sz w:val="20"/>
                <w:szCs w:val="20"/>
              </w:rPr>
            </w:pPr>
          </w:p>
        </w:tc>
        <w:tc>
          <w:tcPr>
            <w:tcW w:w="4830" w:type="dxa"/>
            <w:shd w:val="clear" w:color="auto" w:fill="auto"/>
            <w:noWrap w:val="0"/>
            <w:vAlign w:val="center"/>
          </w:tcPr>
          <w:p w14:paraId="1916E7E1">
            <w:pPr>
              <w:rPr>
                <w:rFonts w:hint="eastAsia"/>
                <w:color w:val="000000"/>
                <w:sz w:val="20"/>
                <w:szCs w:val="20"/>
              </w:rPr>
            </w:pPr>
            <w:r>
              <w:rPr>
                <w:rFonts w:hint="eastAsia"/>
                <w:color w:val="000000"/>
                <w:sz w:val="20"/>
                <w:szCs w:val="20"/>
              </w:rPr>
              <w:t>5.内置蓝牙5.3；</w:t>
            </w:r>
          </w:p>
        </w:tc>
        <w:tc>
          <w:tcPr>
            <w:tcW w:w="1300" w:type="dxa"/>
            <w:shd w:val="clear" w:color="auto" w:fill="auto"/>
            <w:noWrap/>
            <w:vAlign w:val="center"/>
          </w:tcPr>
          <w:p w14:paraId="53A74ACB">
            <w:pPr>
              <w:rPr>
                <w:rFonts w:hint="eastAsia"/>
                <w:color w:val="000000"/>
                <w:sz w:val="20"/>
                <w:szCs w:val="20"/>
              </w:rPr>
            </w:pPr>
            <w:r>
              <w:rPr>
                <w:rFonts w:hint="eastAsia"/>
                <w:color w:val="000000"/>
                <w:sz w:val="20"/>
                <w:szCs w:val="20"/>
              </w:rPr>
              <w:t>　</w:t>
            </w:r>
          </w:p>
        </w:tc>
      </w:tr>
      <w:tr w14:paraId="697B7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80" w:type="dxa"/>
            <w:vMerge w:val="continue"/>
            <w:shd w:val="clear" w:color="auto" w:fill="auto"/>
            <w:noWrap w:val="0"/>
            <w:vAlign w:val="center"/>
          </w:tcPr>
          <w:p w14:paraId="4A4BB7DD">
            <w:pPr>
              <w:rPr>
                <w:color w:val="000000"/>
                <w:sz w:val="20"/>
                <w:szCs w:val="20"/>
              </w:rPr>
            </w:pPr>
          </w:p>
        </w:tc>
        <w:tc>
          <w:tcPr>
            <w:tcW w:w="1580" w:type="dxa"/>
            <w:vMerge w:val="continue"/>
            <w:shd w:val="clear" w:color="auto" w:fill="auto"/>
            <w:noWrap w:val="0"/>
            <w:vAlign w:val="center"/>
          </w:tcPr>
          <w:p w14:paraId="75F05962">
            <w:pPr>
              <w:rPr>
                <w:color w:val="000000"/>
                <w:sz w:val="20"/>
                <w:szCs w:val="20"/>
              </w:rPr>
            </w:pPr>
          </w:p>
        </w:tc>
        <w:tc>
          <w:tcPr>
            <w:tcW w:w="4830" w:type="dxa"/>
            <w:shd w:val="clear" w:color="auto" w:fill="auto"/>
            <w:noWrap w:val="0"/>
            <w:vAlign w:val="center"/>
          </w:tcPr>
          <w:p w14:paraId="57A867DD">
            <w:pPr>
              <w:rPr>
                <w:rFonts w:hint="eastAsia"/>
                <w:color w:val="000000"/>
                <w:sz w:val="20"/>
                <w:szCs w:val="20"/>
              </w:rPr>
            </w:pPr>
            <w:r>
              <w:rPr>
                <w:rFonts w:hint="eastAsia"/>
                <w:color w:val="000000"/>
                <w:sz w:val="20"/>
                <w:szCs w:val="20"/>
              </w:rPr>
              <w:t>6.5GHz单射频支持2*2 MIMO，且单射频最大接入速率≥2.88Gbps；</w:t>
            </w:r>
          </w:p>
        </w:tc>
        <w:tc>
          <w:tcPr>
            <w:tcW w:w="1300" w:type="dxa"/>
            <w:shd w:val="clear" w:color="auto" w:fill="auto"/>
            <w:noWrap/>
            <w:vAlign w:val="center"/>
          </w:tcPr>
          <w:p w14:paraId="5562CBE8">
            <w:pPr>
              <w:rPr>
                <w:rFonts w:hint="eastAsia"/>
                <w:color w:val="000000"/>
                <w:sz w:val="20"/>
                <w:szCs w:val="20"/>
              </w:rPr>
            </w:pPr>
            <w:r>
              <w:rPr>
                <w:rFonts w:hint="eastAsia"/>
                <w:color w:val="000000"/>
                <w:sz w:val="20"/>
                <w:szCs w:val="20"/>
              </w:rPr>
              <w:t>　</w:t>
            </w:r>
          </w:p>
        </w:tc>
      </w:tr>
      <w:tr w14:paraId="1236E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0" w:type="dxa"/>
            <w:vMerge w:val="continue"/>
            <w:shd w:val="clear" w:color="auto" w:fill="auto"/>
            <w:noWrap w:val="0"/>
            <w:vAlign w:val="center"/>
          </w:tcPr>
          <w:p w14:paraId="3C4F4A1B">
            <w:pPr>
              <w:rPr>
                <w:color w:val="000000"/>
                <w:sz w:val="20"/>
                <w:szCs w:val="20"/>
              </w:rPr>
            </w:pPr>
          </w:p>
        </w:tc>
        <w:tc>
          <w:tcPr>
            <w:tcW w:w="1580" w:type="dxa"/>
            <w:vMerge w:val="continue"/>
            <w:shd w:val="clear" w:color="auto" w:fill="auto"/>
            <w:noWrap w:val="0"/>
            <w:vAlign w:val="center"/>
          </w:tcPr>
          <w:p w14:paraId="26A32992">
            <w:pPr>
              <w:rPr>
                <w:color w:val="000000"/>
                <w:sz w:val="20"/>
                <w:szCs w:val="20"/>
              </w:rPr>
            </w:pPr>
          </w:p>
        </w:tc>
        <w:tc>
          <w:tcPr>
            <w:tcW w:w="4830" w:type="dxa"/>
            <w:shd w:val="clear" w:color="auto" w:fill="auto"/>
            <w:noWrap w:val="0"/>
            <w:vAlign w:val="center"/>
          </w:tcPr>
          <w:p w14:paraId="20461284">
            <w:pPr>
              <w:rPr>
                <w:rFonts w:hint="eastAsia"/>
                <w:color w:val="000000"/>
                <w:sz w:val="20"/>
                <w:szCs w:val="20"/>
              </w:rPr>
            </w:pPr>
            <w:r>
              <w:rPr>
                <w:rFonts w:hint="eastAsia"/>
                <w:color w:val="000000"/>
                <w:sz w:val="20"/>
                <w:szCs w:val="20"/>
              </w:rPr>
              <w:t>7.支持1对Passthough透传口；</w:t>
            </w:r>
          </w:p>
        </w:tc>
        <w:tc>
          <w:tcPr>
            <w:tcW w:w="1300" w:type="dxa"/>
            <w:shd w:val="clear" w:color="auto" w:fill="auto"/>
            <w:noWrap/>
            <w:vAlign w:val="center"/>
          </w:tcPr>
          <w:p w14:paraId="2CD48FA9">
            <w:pPr>
              <w:rPr>
                <w:rFonts w:hint="eastAsia"/>
                <w:color w:val="000000"/>
                <w:sz w:val="20"/>
                <w:szCs w:val="20"/>
              </w:rPr>
            </w:pPr>
            <w:r>
              <w:rPr>
                <w:rFonts w:hint="eastAsia"/>
                <w:color w:val="000000"/>
                <w:sz w:val="20"/>
                <w:szCs w:val="20"/>
              </w:rPr>
              <w:t>　</w:t>
            </w:r>
          </w:p>
        </w:tc>
      </w:tr>
      <w:tr w14:paraId="603B6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80" w:type="dxa"/>
            <w:vMerge w:val="continue"/>
            <w:shd w:val="clear" w:color="auto" w:fill="auto"/>
            <w:noWrap w:val="0"/>
            <w:vAlign w:val="center"/>
          </w:tcPr>
          <w:p w14:paraId="22D2EF32">
            <w:pPr>
              <w:rPr>
                <w:color w:val="000000"/>
                <w:sz w:val="20"/>
                <w:szCs w:val="20"/>
              </w:rPr>
            </w:pPr>
          </w:p>
        </w:tc>
        <w:tc>
          <w:tcPr>
            <w:tcW w:w="1580" w:type="dxa"/>
            <w:vMerge w:val="continue"/>
            <w:shd w:val="clear" w:color="auto" w:fill="auto"/>
            <w:noWrap w:val="0"/>
            <w:vAlign w:val="center"/>
          </w:tcPr>
          <w:p w14:paraId="68905003">
            <w:pPr>
              <w:rPr>
                <w:color w:val="000000"/>
                <w:sz w:val="20"/>
                <w:szCs w:val="20"/>
              </w:rPr>
            </w:pPr>
          </w:p>
        </w:tc>
        <w:tc>
          <w:tcPr>
            <w:tcW w:w="4830" w:type="dxa"/>
            <w:shd w:val="clear" w:color="auto" w:fill="auto"/>
            <w:noWrap w:val="0"/>
            <w:vAlign w:val="center"/>
          </w:tcPr>
          <w:p w14:paraId="40327823">
            <w:pPr>
              <w:rPr>
                <w:rFonts w:hint="eastAsia"/>
                <w:color w:val="000000"/>
                <w:sz w:val="20"/>
                <w:szCs w:val="20"/>
              </w:rPr>
            </w:pPr>
            <w:r>
              <w:rPr>
                <w:rFonts w:hint="eastAsia"/>
                <w:color w:val="000000"/>
                <w:sz w:val="20"/>
                <w:szCs w:val="20"/>
              </w:rPr>
              <w:t>8.支持SSID隐藏，每个SSID可配置单独的认证方式、加密机制，VLAN属性；</w:t>
            </w:r>
          </w:p>
        </w:tc>
        <w:tc>
          <w:tcPr>
            <w:tcW w:w="1300" w:type="dxa"/>
            <w:shd w:val="clear" w:color="auto" w:fill="auto"/>
            <w:noWrap/>
            <w:vAlign w:val="center"/>
          </w:tcPr>
          <w:p w14:paraId="69CE9DA5">
            <w:pPr>
              <w:rPr>
                <w:rFonts w:hint="eastAsia"/>
                <w:color w:val="000000"/>
                <w:sz w:val="20"/>
                <w:szCs w:val="20"/>
              </w:rPr>
            </w:pPr>
            <w:r>
              <w:rPr>
                <w:rFonts w:hint="eastAsia"/>
                <w:color w:val="000000"/>
                <w:sz w:val="20"/>
                <w:szCs w:val="20"/>
              </w:rPr>
              <w:t>　</w:t>
            </w:r>
          </w:p>
        </w:tc>
      </w:tr>
      <w:tr w14:paraId="05D41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0" w:type="dxa"/>
            <w:vMerge w:val="continue"/>
            <w:shd w:val="clear" w:color="auto" w:fill="auto"/>
            <w:noWrap w:val="0"/>
            <w:vAlign w:val="center"/>
          </w:tcPr>
          <w:p w14:paraId="5A06EABA">
            <w:pPr>
              <w:rPr>
                <w:color w:val="000000"/>
                <w:sz w:val="20"/>
                <w:szCs w:val="20"/>
              </w:rPr>
            </w:pPr>
          </w:p>
        </w:tc>
        <w:tc>
          <w:tcPr>
            <w:tcW w:w="1580" w:type="dxa"/>
            <w:vMerge w:val="continue"/>
            <w:shd w:val="clear" w:color="auto" w:fill="auto"/>
            <w:noWrap w:val="0"/>
            <w:vAlign w:val="center"/>
          </w:tcPr>
          <w:p w14:paraId="637A91A8">
            <w:pPr>
              <w:rPr>
                <w:color w:val="000000"/>
                <w:sz w:val="20"/>
                <w:szCs w:val="20"/>
              </w:rPr>
            </w:pPr>
          </w:p>
        </w:tc>
        <w:tc>
          <w:tcPr>
            <w:tcW w:w="4830" w:type="dxa"/>
            <w:shd w:val="clear" w:color="auto" w:fill="auto"/>
            <w:noWrap w:val="0"/>
            <w:vAlign w:val="center"/>
          </w:tcPr>
          <w:p w14:paraId="0AB877BA">
            <w:pPr>
              <w:rPr>
                <w:rFonts w:hint="eastAsia"/>
                <w:color w:val="000000"/>
                <w:sz w:val="20"/>
                <w:szCs w:val="20"/>
              </w:rPr>
            </w:pPr>
            <w:r>
              <w:rPr>
                <w:rFonts w:hint="eastAsia"/>
                <w:color w:val="000000"/>
                <w:sz w:val="20"/>
                <w:szCs w:val="20"/>
              </w:rPr>
              <w:t>9.支持基于SSID、射频卡的用户数限制；</w:t>
            </w:r>
          </w:p>
        </w:tc>
        <w:tc>
          <w:tcPr>
            <w:tcW w:w="1300" w:type="dxa"/>
            <w:shd w:val="clear" w:color="auto" w:fill="auto"/>
            <w:noWrap/>
            <w:vAlign w:val="center"/>
          </w:tcPr>
          <w:p w14:paraId="05CC6188">
            <w:pPr>
              <w:rPr>
                <w:rFonts w:hint="eastAsia"/>
                <w:color w:val="000000"/>
                <w:sz w:val="20"/>
                <w:szCs w:val="20"/>
              </w:rPr>
            </w:pPr>
            <w:r>
              <w:rPr>
                <w:rFonts w:hint="eastAsia"/>
                <w:color w:val="000000"/>
                <w:sz w:val="20"/>
                <w:szCs w:val="20"/>
              </w:rPr>
              <w:t>　</w:t>
            </w:r>
          </w:p>
        </w:tc>
      </w:tr>
      <w:tr w14:paraId="4903B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0" w:type="dxa"/>
            <w:vMerge w:val="continue"/>
            <w:shd w:val="clear" w:color="auto" w:fill="auto"/>
            <w:noWrap w:val="0"/>
            <w:vAlign w:val="center"/>
          </w:tcPr>
          <w:p w14:paraId="1425FC8A">
            <w:pPr>
              <w:rPr>
                <w:color w:val="000000"/>
                <w:sz w:val="20"/>
                <w:szCs w:val="20"/>
              </w:rPr>
            </w:pPr>
          </w:p>
        </w:tc>
        <w:tc>
          <w:tcPr>
            <w:tcW w:w="1580" w:type="dxa"/>
            <w:vMerge w:val="continue"/>
            <w:shd w:val="clear" w:color="auto" w:fill="auto"/>
            <w:noWrap w:val="0"/>
            <w:vAlign w:val="center"/>
          </w:tcPr>
          <w:p w14:paraId="4590EBBC">
            <w:pPr>
              <w:rPr>
                <w:color w:val="000000"/>
                <w:sz w:val="20"/>
                <w:szCs w:val="20"/>
              </w:rPr>
            </w:pPr>
          </w:p>
        </w:tc>
        <w:tc>
          <w:tcPr>
            <w:tcW w:w="4830" w:type="dxa"/>
            <w:shd w:val="clear" w:color="auto" w:fill="auto"/>
            <w:noWrap w:val="0"/>
            <w:vAlign w:val="center"/>
          </w:tcPr>
          <w:p w14:paraId="3FA36567">
            <w:pPr>
              <w:rPr>
                <w:rFonts w:hint="eastAsia"/>
                <w:color w:val="000000"/>
                <w:sz w:val="20"/>
                <w:szCs w:val="20"/>
              </w:rPr>
            </w:pPr>
            <w:r>
              <w:rPr>
                <w:rFonts w:hint="eastAsia"/>
                <w:color w:val="000000"/>
                <w:sz w:val="20"/>
                <w:szCs w:val="20"/>
              </w:rPr>
              <w:t>10.支持基于终端数或流量的智能负载均衡；</w:t>
            </w:r>
          </w:p>
        </w:tc>
        <w:tc>
          <w:tcPr>
            <w:tcW w:w="1300" w:type="dxa"/>
            <w:shd w:val="clear" w:color="auto" w:fill="auto"/>
            <w:noWrap/>
            <w:vAlign w:val="center"/>
          </w:tcPr>
          <w:p w14:paraId="62CA9781">
            <w:pPr>
              <w:rPr>
                <w:rFonts w:hint="eastAsia"/>
                <w:color w:val="000000"/>
                <w:sz w:val="20"/>
                <w:szCs w:val="20"/>
              </w:rPr>
            </w:pPr>
            <w:r>
              <w:rPr>
                <w:rFonts w:hint="eastAsia"/>
                <w:color w:val="000000"/>
                <w:sz w:val="20"/>
                <w:szCs w:val="20"/>
              </w:rPr>
              <w:t>　</w:t>
            </w:r>
          </w:p>
        </w:tc>
      </w:tr>
      <w:tr w14:paraId="3A093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0" w:type="dxa"/>
            <w:vMerge w:val="continue"/>
            <w:shd w:val="clear" w:color="auto" w:fill="auto"/>
            <w:noWrap w:val="0"/>
            <w:vAlign w:val="center"/>
          </w:tcPr>
          <w:p w14:paraId="4BF15A93">
            <w:pPr>
              <w:rPr>
                <w:color w:val="000000"/>
                <w:sz w:val="20"/>
                <w:szCs w:val="20"/>
              </w:rPr>
            </w:pPr>
          </w:p>
        </w:tc>
        <w:tc>
          <w:tcPr>
            <w:tcW w:w="1580" w:type="dxa"/>
            <w:vMerge w:val="continue"/>
            <w:shd w:val="clear" w:color="auto" w:fill="auto"/>
            <w:noWrap w:val="0"/>
            <w:vAlign w:val="center"/>
          </w:tcPr>
          <w:p w14:paraId="780436FD">
            <w:pPr>
              <w:rPr>
                <w:color w:val="000000"/>
                <w:sz w:val="20"/>
                <w:szCs w:val="20"/>
              </w:rPr>
            </w:pPr>
          </w:p>
        </w:tc>
        <w:tc>
          <w:tcPr>
            <w:tcW w:w="4830" w:type="dxa"/>
            <w:shd w:val="clear" w:color="auto" w:fill="auto"/>
            <w:noWrap w:val="0"/>
            <w:vAlign w:val="center"/>
          </w:tcPr>
          <w:p w14:paraId="40729272">
            <w:pPr>
              <w:rPr>
                <w:rFonts w:hint="eastAsia"/>
                <w:color w:val="000000"/>
                <w:sz w:val="20"/>
                <w:szCs w:val="20"/>
              </w:rPr>
            </w:pPr>
            <w:r>
              <w:rPr>
                <w:rFonts w:hint="eastAsia"/>
                <w:color w:val="000000"/>
                <w:sz w:val="20"/>
                <w:szCs w:val="20"/>
              </w:rPr>
              <w:t>11.支持带宽限制，支持基于STA/SSID/AP的限速；</w:t>
            </w:r>
          </w:p>
        </w:tc>
        <w:tc>
          <w:tcPr>
            <w:tcW w:w="1300" w:type="dxa"/>
            <w:shd w:val="clear" w:color="auto" w:fill="auto"/>
            <w:noWrap/>
            <w:vAlign w:val="center"/>
          </w:tcPr>
          <w:p w14:paraId="7DC5B346">
            <w:pPr>
              <w:rPr>
                <w:rFonts w:hint="eastAsia"/>
                <w:color w:val="000000"/>
                <w:sz w:val="20"/>
                <w:szCs w:val="20"/>
              </w:rPr>
            </w:pPr>
            <w:r>
              <w:rPr>
                <w:rFonts w:hint="eastAsia"/>
                <w:color w:val="000000"/>
                <w:sz w:val="20"/>
                <w:szCs w:val="20"/>
              </w:rPr>
              <w:t>　</w:t>
            </w:r>
          </w:p>
        </w:tc>
      </w:tr>
      <w:tr w14:paraId="29332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80" w:type="dxa"/>
            <w:vMerge w:val="continue"/>
            <w:shd w:val="clear" w:color="auto" w:fill="auto"/>
            <w:noWrap w:val="0"/>
            <w:vAlign w:val="center"/>
          </w:tcPr>
          <w:p w14:paraId="48C673CB">
            <w:pPr>
              <w:rPr>
                <w:color w:val="000000"/>
                <w:sz w:val="20"/>
                <w:szCs w:val="20"/>
              </w:rPr>
            </w:pPr>
          </w:p>
        </w:tc>
        <w:tc>
          <w:tcPr>
            <w:tcW w:w="1580" w:type="dxa"/>
            <w:vMerge w:val="continue"/>
            <w:shd w:val="clear" w:color="auto" w:fill="auto"/>
            <w:noWrap w:val="0"/>
            <w:vAlign w:val="center"/>
          </w:tcPr>
          <w:p w14:paraId="2EA5E633">
            <w:pPr>
              <w:rPr>
                <w:color w:val="000000"/>
                <w:sz w:val="20"/>
                <w:szCs w:val="20"/>
              </w:rPr>
            </w:pPr>
          </w:p>
        </w:tc>
        <w:tc>
          <w:tcPr>
            <w:tcW w:w="4830" w:type="dxa"/>
            <w:shd w:val="clear" w:color="auto" w:fill="auto"/>
            <w:noWrap w:val="0"/>
            <w:vAlign w:val="center"/>
          </w:tcPr>
          <w:p w14:paraId="03F16C68">
            <w:pPr>
              <w:rPr>
                <w:rFonts w:hint="eastAsia"/>
                <w:color w:val="FF0000"/>
                <w:sz w:val="20"/>
                <w:szCs w:val="20"/>
              </w:rPr>
            </w:pPr>
            <w:r>
              <w:rPr>
                <w:rFonts w:hint="eastAsia"/>
                <w:color w:val="FF0000"/>
                <w:sz w:val="20"/>
                <w:szCs w:val="20"/>
              </w:rPr>
              <w:t>▲12.支持Fat/Fit模式切换。当工作在Fit（瘦）模式时，可通过AC系列无线控制器切换为Fat模式；当工作在Fat（胖）模式时，可通过本地控制口、Telnet方式切换为Fit模式；</w:t>
            </w:r>
          </w:p>
        </w:tc>
        <w:tc>
          <w:tcPr>
            <w:tcW w:w="1300" w:type="dxa"/>
            <w:shd w:val="clear" w:color="auto" w:fill="auto"/>
            <w:noWrap/>
            <w:vAlign w:val="center"/>
          </w:tcPr>
          <w:p w14:paraId="293EB10D">
            <w:pPr>
              <w:rPr>
                <w:rFonts w:hint="eastAsia"/>
                <w:color w:val="000000"/>
                <w:sz w:val="20"/>
                <w:szCs w:val="20"/>
              </w:rPr>
            </w:pPr>
            <w:r>
              <w:rPr>
                <w:rFonts w:hint="eastAsia"/>
                <w:color w:val="000000"/>
                <w:sz w:val="20"/>
                <w:szCs w:val="20"/>
              </w:rPr>
              <w:t>　</w:t>
            </w:r>
          </w:p>
        </w:tc>
      </w:tr>
      <w:tr w14:paraId="39245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80" w:type="dxa"/>
            <w:vMerge w:val="continue"/>
            <w:shd w:val="clear" w:color="auto" w:fill="auto"/>
            <w:noWrap w:val="0"/>
            <w:vAlign w:val="center"/>
          </w:tcPr>
          <w:p w14:paraId="3B1751BC">
            <w:pPr>
              <w:rPr>
                <w:color w:val="000000"/>
                <w:sz w:val="20"/>
                <w:szCs w:val="20"/>
              </w:rPr>
            </w:pPr>
          </w:p>
        </w:tc>
        <w:tc>
          <w:tcPr>
            <w:tcW w:w="1580" w:type="dxa"/>
            <w:vMerge w:val="continue"/>
            <w:shd w:val="clear" w:color="auto" w:fill="auto"/>
            <w:noWrap w:val="0"/>
            <w:vAlign w:val="center"/>
          </w:tcPr>
          <w:p w14:paraId="59BAAAF9">
            <w:pPr>
              <w:rPr>
                <w:color w:val="000000"/>
                <w:sz w:val="20"/>
                <w:szCs w:val="20"/>
              </w:rPr>
            </w:pPr>
          </w:p>
        </w:tc>
        <w:tc>
          <w:tcPr>
            <w:tcW w:w="4830" w:type="dxa"/>
            <w:shd w:val="clear" w:color="auto" w:fill="auto"/>
            <w:noWrap w:val="0"/>
            <w:vAlign w:val="center"/>
          </w:tcPr>
          <w:p w14:paraId="6E061754">
            <w:pPr>
              <w:rPr>
                <w:rFonts w:hint="eastAsia"/>
                <w:color w:val="000000"/>
                <w:sz w:val="20"/>
                <w:szCs w:val="20"/>
              </w:rPr>
            </w:pPr>
            <w:r>
              <w:rPr>
                <w:rFonts w:hint="eastAsia"/>
                <w:color w:val="000000"/>
                <w:sz w:val="20"/>
                <w:szCs w:val="20"/>
              </w:rPr>
              <w:t>13.支持WEP（64/128位）、WPA（TKIP）、WPA-PSK、WPA2（AES）、WPA3等数据加密方式；</w:t>
            </w:r>
          </w:p>
        </w:tc>
        <w:tc>
          <w:tcPr>
            <w:tcW w:w="1300" w:type="dxa"/>
            <w:shd w:val="clear" w:color="auto" w:fill="auto"/>
            <w:noWrap/>
            <w:vAlign w:val="center"/>
          </w:tcPr>
          <w:p w14:paraId="2B2AB48B">
            <w:pPr>
              <w:rPr>
                <w:rFonts w:hint="eastAsia"/>
                <w:color w:val="000000"/>
                <w:sz w:val="20"/>
                <w:szCs w:val="20"/>
              </w:rPr>
            </w:pPr>
            <w:r>
              <w:rPr>
                <w:rFonts w:hint="eastAsia"/>
                <w:color w:val="000000"/>
                <w:sz w:val="20"/>
                <w:szCs w:val="20"/>
              </w:rPr>
              <w:t>　</w:t>
            </w:r>
          </w:p>
        </w:tc>
      </w:tr>
      <w:tr w14:paraId="75B3A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0" w:type="dxa"/>
            <w:vMerge w:val="continue"/>
            <w:shd w:val="clear" w:color="auto" w:fill="auto"/>
            <w:noWrap w:val="0"/>
            <w:vAlign w:val="center"/>
          </w:tcPr>
          <w:p w14:paraId="36CDC11E">
            <w:pPr>
              <w:rPr>
                <w:color w:val="000000"/>
                <w:sz w:val="20"/>
                <w:szCs w:val="20"/>
              </w:rPr>
            </w:pPr>
          </w:p>
        </w:tc>
        <w:tc>
          <w:tcPr>
            <w:tcW w:w="1580" w:type="dxa"/>
            <w:vMerge w:val="continue"/>
            <w:shd w:val="clear" w:color="auto" w:fill="auto"/>
            <w:noWrap w:val="0"/>
            <w:vAlign w:val="center"/>
          </w:tcPr>
          <w:p w14:paraId="550EE27A">
            <w:pPr>
              <w:rPr>
                <w:color w:val="000000"/>
                <w:sz w:val="20"/>
                <w:szCs w:val="20"/>
              </w:rPr>
            </w:pPr>
          </w:p>
        </w:tc>
        <w:tc>
          <w:tcPr>
            <w:tcW w:w="4830" w:type="dxa"/>
            <w:shd w:val="clear" w:color="auto" w:fill="auto"/>
            <w:noWrap w:val="0"/>
            <w:vAlign w:val="center"/>
          </w:tcPr>
          <w:p w14:paraId="07ED8812">
            <w:pPr>
              <w:rPr>
                <w:rFonts w:hint="eastAsia"/>
                <w:color w:val="000000"/>
                <w:sz w:val="20"/>
                <w:szCs w:val="20"/>
              </w:rPr>
            </w:pPr>
            <w:r>
              <w:rPr>
                <w:rFonts w:hint="eastAsia"/>
                <w:color w:val="000000"/>
                <w:sz w:val="20"/>
                <w:szCs w:val="20"/>
              </w:rPr>
              <w:t>14.支持用户隔离；</w:t>
            </w:r>
          </w:p>
        </w:tc>
        <w:tc>
          <w:tcPr>
            <w:tcW w:w="1300" w:type="dxa"/>
            <w:shd w:val="clear" w:color="auto" w:fill="auto"/>
            <w:noWrap/>
            <w:vAlign w:val="center"/>
          </w:tcPr>
          <w:p w14:paraId="7B2FDE99">
            <w:pPr>
              <w:rPr>
                <w:rFonts w:hint="eastAsia"/>
                <w:color w:val="000000"/>
                <w:sz w:val="20"/>
                <w:szCs w:val="20"/>
              </w:rPr>
            </w:pPr>
            <w:r>
              <w:rPr>
                <w:rFonts w:hint="eastAsia"/>
                <w:color w:val="000000"/>
                <w:sz w:val="20"/>
                <w:szCs w:val="20"/>
              </w:rPr>
              <w:t>　</w:t>
            </w:r>
          </w:p>
        </w:tc>
      </w:tr>
      <w:tr w14:paraId="59310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80" w:type="dxa"/>
            <w:vMerge w:val="continue"/>
            <w:shd w:val="clear" w:color="auto" w:fill="auto"/>
            <w:noWrap w:val="0"/>
            <w:vAlign w:val="center"/>
          </w:tcPr>
          <w:p w14:paraId="56096E1E">
            <w:pPr>
              <w:rPr>
                <w:color w:val="000000"/>
                <w:sz w:val="20"/>
                <w:szCs w:val="20"/>
              </w:rPr>
            </w:pPr>
          </w:p>
        </w:tc>
        <w:tc>
          <w:tcPr>
            <w:tcW w:w="1580" w:type="dxa"/>
            <w:vMerge w:val="continue"/>
            <w:shd w:val="clear" w:color="auto" w:fill="auto"/>
            <w:noWrap w:val="0"/>
            <w:vAlign w:val="center"/>
          </w:tcPr>
          <w:p w14:paraId="37B4F422">
            <w:pPr>
              <w:rPr>
                <w:color w:val="000000"/>
                <w:sz w:val="20"/>
                <w:szCs w:val="20"/>
              </w:rPr>
            </w:pPr>
          </w:p>
        </w:tc>
        <w:tc>
          <w:tcPr>
            <w:tcW w:w="4830" w:type="dxa"/>
            <w:shd w:val="clear" w:color="auto" w:fill="auto"/>
            <w:noWrap w:val="0"/>
            <w:vAlign w:val="center"/>
          </w:tcPr>
          <w:p w14:paraId="10F6BA7E">
            <w:pPr>
              <w:rPr>
                <w:rFonts w:hint="eastAsia"/>
                <w:color w:val="000000"/>
                <w:sz w:val="20"/>
                <w:szCs w:val="20"/>
              </w:rPr>
            </w:pPr>
            <w:r>
              <w:rPr>
                <w:rFonts w:hint="eastAsia"/>
                <w:color w:val="000000"/>
                <w:sz w:val="20"/>
                <w:szCs w:val="20"/>
              </w:rPr>
              <w:t>15.支持非法AP检测及反制。支持数据帧过滤功能，支持白名单、静态黑名单、动态黑名单；</w:t>
            </w:r>
          </w:p>
        </w:tc>
        <w:tc>
          <w:tcPr>
            <w:tcW w:w="1300" w:type="dxa"/>
            <w:shd w:val="clear" w:color="auto" w:fill="auto"/>
            <w:noWrap/>
            <w:vAlign w:val="center"/>
          </w:tcPr>
          <w:p w14:paraId="1375101F">
            <w:pPr>
              <w:rPr>
                <w:rFonts w:hint="eastAsia"/>
                <w:color w:val="000000"/>
                <w:sz w:val="20"/>
                <w:szCs w:val="20"/>
              </w:rPr>
            </w:pPr>
            <w:r>
              <w:rPr>
                <w:rFonts w:hint="eastAsia"/>
                <w:color w:val="000000"/>
                <w:sz w:val="20"/>
                <w:szCs w:val="20"/>
              </w:rPr>
              <w:t>　</w:t>
            </w:r>
          </w:p>
        </w:tc>
      </w:tr>
      <w:tr w14:paraId="33D06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80" w:type="dxa"/>
            <w:vMerge w:val="continue"/>
            <w:shd w:val="clear" w:color="auto" w:fill="auto"/>
            <w:noWrap w:val="0"/>
            <w:vAlign w:val="center"/>
          </w:tcPr>
          <w:p w14:paraId="586C4522">
            <w:pPr>
              <w:rPr>
                <w:color w:val="000000"/>
                <w:sz w:val="20"/>
                <w:szCs w:val="20"/>
              </w:rPr>
            </w:pPr>
          </w:p>
        </w:tc>
        <w:tc>
          <w:tcPr>
            <w:tcW w:w="1580" w:type="dxa"/>
            <w:vMerge w:val="continue"/>
            <w:shd w:val="clear" w:color="auto" w:fill="auto"/>
            <w:noWrap w:val="0"/>
            <w:vAlign w:val="center"/>
          </w:tcPr>
          <w:p w14:paraId="6A0DF7B3">
            <w:pPr>
              <w:rPr>
                <w:color w:val="000000"/>
                <w:sz w:val="20"/>
                <w:szCs w:val="20"/>
              </w:rPr>
            </w:pPr>
          </w:p>
        </w:tc>
        <w:tc>
          <w:tcPr>
            <w:tcW w:w="4830" w:type="dxa"/>
            <w:shd w:val="clear" w:color="auto" w:fill="auto"/>
            <w:noWrap w:val="0"/>
            <w:vAlign w:val="center"/>
          </w:tcPr>
          <w:p w14:paraId="71FE40FC">
            <w:pPr>
              <w:rPr>
                <w:rFonts w:hint="eastAsia"/>
                <w:color w:val="000000"/>
                <w:sz w:val="20"/>
                <w:szCs w:val="20"/>
              </w:rPr>
            </w:pPr>
            <w:r>
              <w:rPr>
                <w:rFonts w:hint="eastAsia"/>
                <w:color w:val="000000"/>
                <w:sz w:val="20"/>
                <w:szCs w:val="20"/>
              </w:rPr>
              <w:t>16.支持IPsec VPN，PPPoE client，NAT（含FTP ALG/DNS ALG）；</w:t>
            </w:r>
          </w:p>
        </w:tc>
        <w:tc>
          <w:tcPr>
            <w:tcW w:w="1300" w:type="dxa"/>
            <w:shd w:val="clear" w:color="auto" w:fill="auto"/>
            <w:noWrap/>
            <w:vAlign w:val="center"/>
          </w:tcPr>
          <w:p w14:paraId="0480B73C">
            <w:pPr>
              <w:rPr>
                <w:rFonts w:hint="eastAsia"/>
                <w:color w:val="000000"/>
                <w:sz w:val="20"/>
                <w:szCs w:val="20"/>
              </w:rPr>
            </w:pPr>
            <w:r>
              <w:rPr>
                <w:rFonts w:hint="eastAsia"/>
                <w:color w:val="000000"/>
                <w:sz w:val="20"/>
                <w:szCs w:val="20"/>
              </w:rPr>
              <w:t>　</w:t>
            </w:r>
          </w:p>
        </w:tc>
      </w:tr>
      <w:tr w14:paraId="01340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0" w:type="dxa"/>
            <w:vMerge w:val="continue"/>
            <w:shd w:val="clear" w:color="auto" w:fill="auto"/>
            <w:noWrap w:val="0"/>
            <w:vAlign w:val="center"/>
          </w:tcPr>
          <w:p w14:paraId="10F2E3FB">
            <w:pPr>
              <w:rPr>
                <w:color w:val="000000"/>
                <w:sz w:val="20"/>
                <w:szCs w:val="20"/>
              </w:rPr>
            </w:pPr>
          </w:p>
        </w:tc>
        <w:tc>
          <w:tcPr>
            <w:tcW w:w="1580" w:type="dxa"/>
            <w:vMerge w:val="continue"/>
            <w:shd w:val="clear" w:color="auto" w:fill="auto"/>
            <w:noWrap w:val="0"/>
            <w:vAlign w:val="center"/>
          </w:tcPr>
          <w:p w14:paraId="5CA1B03B">
            <w:pPr>
              <w:rPr>
                <w:color w:val="000000"/>
                <w:sz w:val="20"/>
                <w:szCs w:val="20"/>
              </w:rPr>
            </w:pPr>
          </w:p>
        </w:tc>
        <w:tc>
          <w:tcPr>
            <w:tcW w:w="4830" w:type="dxa"/>
            <w:shd w:val="clear" w:color="auto" w:fill="auto"/>
            <w:noWrap w:val="0"/>
            <w:vAlign w:val="center"/>
          </w:tcPr>
          <w:p w14:paraId="587CA1EC">
            <w:pPr>
              <w:rPr>
                <w:rFonts w:hint="eastAsia"/>
                <w:color w:val="000000"/>
                <w:sz w:val="20"/>
                <w:szCs w:val="20"/>
              </w:rPr>
            </w:pPr>
            <w:r>
              <w:rPr>
                <w:rFonts w:hint="eastAsia"/>
                <w:color w:val="000000"/>
                <w:sz w:val="20"/>
                <w:szCs w:val="20"/>
              </w:rPr>
              <w:t>17.支持通过Telnet、TFTP、Web管理；</w:t>
            </w:r>
          </w:p>
        </w:tc>
        <w:tc>
          <w:tcPr>
            <w:tcW w:w="1300" w:type="dxa"/>
            <w:shd w:val="clear" w:color="auto" w:fill="auto"/>
            <w:noWrap/>
            <w:vAlign w:val="center"/>
          </w:tcPr>
          <w:p w14:paraId="4B2546AC">
            <w:pPr>
              <w:rPr>
                <w:rFonts w:hint="eastAsia"/>
                <w:color w:val="000000"/>
                <w:sz w:val="20"/>
                <w:szCs w:val="20"/>
              </w:rPr>
            </w:pPr>
            <w:r>
              <w:rPr>
                <w:rFonts w:hint="eastAsia"/>
                <w:color w:val="000000"/>
                <w:sz w:val="20"/>
                <w:szCs w:val="20"/>
              </w:rPr>
              <w:t>　</w:t>
            </w:r>
          </w:p>
        </w:tc>
      </w:tr>
      <w:tr w14:paraId="267E5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0" w:type="dxa"/>
            <w:vMerge w:val="continue"/>
            <w:shd w:val="clear" w:color="auto" w:fill="auto"/>
            <w:noWrap w:val="0"/>
            <w:vAlign w:val="center"/>
          </w:tcPr>
          <w:p w14:paraId="575737EB">
            <w:pPr>
              <w:rPr>
                <w:color w:val="000000"/>
                <w:sz w:val="20"/>
                <w:szCs w:val="20"/>
              </w:rPr>
            </w:pPr>
          </w:p>
        </w:tc>
        <w:tc>
          <w:tcPr>
            <w:tcW w:w="1580" w:type="dxa"/>
            <w:vMerge w:val="continue"/>
            <w:shd w:val="clear" w:color="auto" w:fill="auto"/>
            <w:noWrap w:val="0"/>
            <w:vAlign w:val="center"/>
          </w:tcPr>
          <w:p w14:paraId="40AF4036">
            <w:pPr>
              <w:rPr>
                <w:color w:val="000000"/>
                <w:sz w:val="20"/>
                <w:szCs w:val="20"/>
              </w:rPr>
            </w:pPr>
          </w:p>
        </w:tc>
        <w:tc>
          <w:tcPr>
            <w:tcW w:w="4830" w:type="dxa"/>
            <w:shd w:val="clear" w:color="auto" w:fill="auto"/>
            <w:noWrap w:val="0"/>
            <w:vAlign w:val="center"/>
          </w:tcPr>
          <w:p w14:paraId="3B1B83E4">
            <w:pPr>
              <w:rPr>
                <w:rFonts w:hint="eastAsia"/>
                <w:color w:val="000000"/>
                <w:sz w:val="20"/>
                <w:szCs w:val="20"/>
              </w:rPr>
            </w:pPr>
            <w:r>
              <w:rPr>
                <w:rFonts w:hint="eastAsia"/>
                <w:color w:val="000000"/>
                <w:sz w:val="20"/>
                <w:szCs w:val="20"/>
              </w:rPr>
              <w:t>18.支持故障检测及报警；</w:t>
            </w:r>
          </w:p>
        </w:tc>
        <w:tc>
          <w:tcPr>
            <w:tcW w:w="1300" w:type="dxa"/>
            <w:shd w:val="clear" w:color="auto" w:fill="auto"/>
            <w:noWrap/>
            <w:vAlign w:val="center"/>
          </w:tcPr>
          <w:p w14:paraId="40760623">
            <w:pPr>
              <w:rPr>
                <w:rFonts w:hint="eastAsia"/>
                <w:color w:val="000000"/>
                <w:sz w:val="20"/>
                <w:szCs w:val="20"/>
              </w:rPr>
            </w:pPr>
            <w:r>
              <w:rPr>
                <w:rFonts w:hint="eastAsia"/>
                <w:color w:val="000000"/>
                <w:sz w:val="20"/>
                <w:szCs w:val="20"/>
              </w:rPr>
              <w:t>　</w:t>
            </w:r>
          </w:p>
        </w:tc>
      </w:tr>
      <w:tr w14:paraId="25CCD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0" w:type="dxa"/>
            <w:vMerge w:val="continue"/>
            <w:shd w:val="clear" w:color="auto" w:fill="auto"/>
            <w:noWrap w:val="0"/>
            <w:vAlign w:val="center"/>
          </w:tcPr>
          <w:p w14:paraId="76999906">
            <w:pPr>
              <w:rPr>
                <w:color w:val="000000"/>
                <w:sz w:val="20"/>
                <w:szCs w:val="20"/>
              </w:rPr>
            </w:pPr>
          </w:p>
        </w:tc>
        <w:tc>
          <w:tcPr>
            <w:tcW w:w="1580" w:type="dxa"/>
            <w:vMerge w:val="continue"/>
            <w:shd w:val="clear" w:color="auto" w:fill="auto"/>
            <w:noWrap w:val="0"/>
            <w:vAlign w:val="center"/>
          </w:tcPr>
          <w:p w14:paraId="1F772C8F">
            <w:pPr>
              <w:rPr>
                <w:color w:val="000000"/>
                <w:sz w:val="20"/>
                <w:szCs w:val="20"/>
              </w:rPr>
            </w:pPr>
          </w:p>
        </w:tc>
        <w:tc>
          <w:tcPr>
            <w:tcW w:w="4830" w:type="dxa"/>
            <w:shd w:val="clear" w:color="auto" w:fill="auto"/>
            <w:noWrap w:val="0"/>
            <w:vAlign w:val="center"/>
          </w:tcPr>
          <w:p w14:paraId="57599496">
            <w:pPr>
              <w:rPr>
                <w:rFonts w:hint="eastAsia"/>
                <w:color w:val="000000"/>
                <w:sz w:val="20"/>
                <w:szCs w:val="20"/>
              </w:rPr>
            </w:pPr>
            <w:r>
              <w:rPr>
                <w:rFonts w:hint="eastAsia"/>
                <w:color w:val="000000"/>
                <w:sz w:val="20"/>
                <w:szCs w:val="20"/>
              </w:rPr>
              <w:t>19.支持信息统计及日志。</w:t>
            </w:r>
          </w:p>
        </w:tc>
        <w:tc>
          <w:tcPr>
            <w:tcW w:w="1300" w:type="dxa"/>
            <w:shd w:val="clear" w:color="auto" w:fill="auto"/>
            <w:noWrap/>
            <w:vAlign w:val="center"/>
          </w:tcPr>
          <w:p w14:paraId="6D4BA933">
            <w:pPr>
              <w:rPr>
                <w:rFonts w:hint="eastAsia"/>
                <w:color w:val="000000"/>
                <w:sz w:val="20"/>
                <w:szCs w:val="20"/>
              </w:rPr>
            </w:pPr>
            <w:r>
              <w:rPr>
                <w:rFonts w:hint="eastAsia"/>
                <w:color w:val="000000"/>
                <w:sz w:val="20"/>
                <w:szCs w:val="20"/>
              </w:rPr>
              <w:t>　</w:t>
            </w:r>
          </w:p>
        </w:tc>
      </w:tr>
      <w:tr w14:paraId="64504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80" w:type="dxa"/>
            <w:vMerge w:val="restart"/>
            <w:shd w:val="clear" w:color="auto" w:fill="auto"/>
            <w:noWrap/>
            <w:vAlign w:val="center"/>
          </w:tcPr>
          <w:p w14:paraId="072320A1">
            <w:pPr>
              <w:jc w:val="center"/>
              <w:rPr>
                <w:rFonts w:hint="eastAsia"/>
                <w:color w:val="000000"/>
                <w:sz w:val="20"/>
                <w:szCs w:val="20"/>
              </w:rPr>
            </w:pPr>
            <w:r>
              <w:rPr>
                <w:rFonts w:hint="eastAsia"/>
                <w:color w:val="000000"/>
                <w:sz w:val="20"/>
                <w:szCs w:val="20"/>
              </w:rPr>
              <w:t>7</w:t>
            </w:r>
          </w:p>
        </w:tc>
        <w:tc>
          <w:tcPr>
            <w:tcW w:w="1580" w:type="dxa"/>
            <w:vMerge w:val="restart"/>
            <w:shd w:val="clear" w:color="auto" w:fill="auto"/>
            <w:noWrap/>
            <w:vAlign w:val="center"/>
          </w:tcPr>
          <w:p w14:paraId="00778080">
            <w:pPr>
              <w:jc w:val="center"/>
              <w:rPr>
                <w:rFonts w:hint="eastAsia"/>
                <w:color w:val="000000"/>
                <w:sz w:val="20"/>
                <w:szCs w:val="20"/>
              </w:rPr>
            </w:pPr>
            <w:r>
              <w:rPr>
                <w:rFonts w:hint="eastAsia"/>
                <w:color w:val="000000"/>
                <w:sz w:val="20"/>
                <w:szCs w:val="20"/>
              </w:rPr>
              <w:t>六类网线</w:t>
            </w:r>
          </w:p>
        </w:tc>
        <w:tc>
          <w:tcPr>
            <w:tcW w:w="4830" w:type="dxa"/>
            <w:shd w:val="clear" w:color="auto" w:fill="auto"/>
            <w:noWrap w:val="0"/>
            <w:vAlign w:val="center"/>
          </w:tcPr>
          <w:p w14:paraId="67EFA4AF">
            <w:pPr>
              <w:rPr>
                <w:rFonts w:hint="eastAsia"/>
                <w:color w:val="000000"/>
                <w:sz w:val="20"/>
                <w:szCs w:val="20"/>
              </w:rPr>
            </w:pPr>
            <w:r>
              <w:rPr>
                <w:rFonts w:hint="eastAsia"/>
                <w:color w:val="000000"/>
                <w:sz w:val="20"/>
                <w:szCs w:val="20"/>
              </w:rPr>
              <w:t>1.6类室内网线,Cat6非屏蔽双绞线,24AWG,工作温度为-20~60℃</w:t>
            </w:r>
          </w:p>
        </w:tc>
        <w:tc>
          <w:tcPr>
            <w:tcW w:w="1300" w:type="dxa"/>
            <w:shd w:val="clear" w:color="auto" w:fill="auto"/>
            <w:noWrap/>
            <w:vAlign w:val="center"/>
          </w:tcPr>
          <w:p w14:paraId="654AF31B">
            <w:pPr>
              <w:rPr>
                <w:rFonts w:hint="eastAsia"/>
                <w:color w:val="000000"/>
                <w:sz w:val="20"/>
                <w:szCs w:val="20"/>
              </w:rPr>
            </w:pPr>
            <w:r>
              <w:rPr>
                <w:rFonts w:hint="eastAsia"/>
                <w:color w:val="000000"/>
                <w:sz w:val="20"/>
                <w:szCs w:val="20"/>
              </w:rPr>
              <w:t>　</w:t>
            </w:r>
          </w:p>
        </w:tc>
      </w:tr>
      <w:tr w14:paraId="0E178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80" w:type="dxa"/>
            <w:vMerge w:val="continue"/>
            <w:shd w:val="clear" w:color="auto" w:fill="auto"/>
            <w:noWrap w:val="0"/>
            <w:vAlign w:val="center"/>
          </w:tcPr>
          <w:p w14:paraId="7BEFE6DC">
            <w:pPr>
              <w:rPr>
                <w:color w:val="000000"/>
                <w:sz w:val="20"/>
                <w:szCs w:val="20"/>
              </w:rPr>
            </w:pPr>
          </w:p>
        </w:tc>
        <w:tc>
          <w:tcPr>
            <w:tcW w:w="1580" w:type="dxa"/>
            <w:vMerge w:val="continue"/>
            <w:shd w:val="clear" w:color="auto" w:fill="auto"/>
            <w:noWrap w:val="0"/>
            <w:vAlign w:val="center"/>
          </w:tcPr>
          <w:p w14:paraId="6F5E3B36">
            <w:pPr>
              <w:rPr>
                <w:color w:val="000000"/>
                <w:sz w:val="20"/>
                <w:szCs w:val="20"/>
              </w:rPr>
            </w:pPr>
          </w:p>
        </w:tc>
        <w:tc>
          <w:tcPr>
            <w:tcW w:w="4830" w:type="dxa"/>
            <w:shd w:val="clear" w:color="auto" w:fill="auto"/>
            <w:noWrap w:val="0"/>
            <w:vAlign w:val="center"/>
          </w:tcPr>
          <w:p w14:paraId="4EBAE1D1">
            <w:pPr>
              <w:rPr>
                <w:rFonts w:hint="eastAsia"/>
                <w:color w:val="000000"/>
                <w:sz w:val="20"/>
                <w:szCs w:val="20"/>
              </w:rPr>
            </w:pPr>
            <w:r>
              <w:rPr>
                <w:rFonts w:hint="eastAsia"/>
                <w:color w:val="000000"/>
                <w:sz w:val="20"/>
                <w:szCs w:val="20"/>
              </w:rPr>
              <w:t>2.标准：符合ISO/IEC 11801、TIA-568-C.2、GB/T 18015.5要求,所用材料符合RoHS要求，性能指标优于现行6类线缆250MHz标准，带宽可额外拓展至350MHz；；</w:t>
            </w:r>
          </w:p>
        </w:tc>
        <w:tc>
          <w:tcPr>
            <w:tcW w:w="1300" w:type="dxa"/>
            <w:shd w:val="clear" w:color="auto" w:fill="auto"/>
            <w:noWrap/>
            <w:vAlign w:val="center"/>
          </w:tcPr>
          <w:p w14:paraId="38454351">
            <w:pPr>
              <w:rPr>
                <w:rFonts w:hint="eastAsia"/>
                <w:color w:val="000000"/>
                <w:sz w:val="20"/>
                <w:szCs w:val="20"/>
              </w:rPr>
            </w:pPr>
            <w:r>
              <w:rPr>
                <w:rFonts w:hint="eastAsia"/>
                <w:color w:val="000000"/>
                <w:sz w:val="20"/>
                <w:szCs w:val="20"/>
              </w:rPr>
              <w:t>　</w:t>
            </w:r>
          </w:p>
        </w:tc>
      </w:tr>
      <w:tr w14:paraId="6EF7A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0" w:type="dxa"/>
            <w:vMerge w:val="continue"/>
            <w:shd w:val="clear" w:color="auto" w:fill="auto"/>
            <w:noWrap w:val="0"/>
            <w:vAlign w:val="center"/>
          </w:tcPr>
          <w:p w14:paraId="2CC902F5">
            <w:pPr>
              <w:rPr>
                <w:color w:val="000000"/>
                <w:sz w:val="20"/>
                <w:szCs w:val="20"/>
              </w:rPr>
            </w:pPr>
          </w:p>
        </w:tc>
        <w:tc>
          <w:tcPr>
            <w:tcW w:w="1580" w:type="dxa"/>
            <w:vMerge w:val="continue"/>
            <w:shd w:val="clear" w:color="auto" w:fill="auto"/>
            <w:noWrap w:val="0"/>
            <w:vAlign w:val="center"/>
          </w:tcPr>
          <w:p w14:paraId="37C225B0">
            <w:pPr>
              <w:rPr>
                <w:color w:val="000000"/>
                <w:sz w:val="20"/>
                <w:szCs w:val="20"/>
              </w:rPr>
            </w:pPr>
          </w:p>
        </w:tc>
        <w:tc>
          <w:tcPr>
            <w:tcW w:w="4830" w:type="dxa"/>
            <w:shd w:val="clear" w:color="auto" w:fill="auto"/>
            <w:noWrap w:val="0"/>
            <w:vAlign w:val="center"/>
          </w:tcPr>
          <w:p w14:paraId="63C364CE">
            <w:pPr>
              <w:rPr>
                <w:rFonts w:hint="eastAsia"/>
                <w:color w:val="000000"/>
                <w:sz w:val="20"/>
                <w:szCs w:val="20"/>
              </w:rPr>
            </w:pPr>
            <w:r>
              <w:rPr>
                <w:rFonts w:hint="eastAsia"/>
                <w:color w:val="000000"/>
                <w:sz w:val="20"/>
                <w:szCs w:val="20"/>
              </w:rPr>
              <w:t>3.标准装箱长度:305m±1.5m；</w:t>
            </w:r>
          </w:p>
        </w:tc>
        <w:tc>
          <w:tcPr>
            <w:tcW w:w="1300" w:type="dxa"/>
            <w:shd w:val="clear" w:color="auto" w:fill="auto"/>
            <w:noWrap/>
            <w:vAlign w:val="center"/>
          </w:tcPr>
          <w:p w14:paraId="300B5FB7">
            <w:pPr>
              <w:rPr>
                <w:rFonts w:hint="eastAsia"/>
                <w:color w:val="000000"/>
                <w:sz w:val="20"/>
                <w:szCs w:val="20"/>
              </w:rPr>
            </w:pPr>
            <w:r>
              <w:rPr>
                <w:rFonts w:hint="eastAsia"/>
                <w:color w:val="000000"/>
                <w:sz w:val="20"/>
                <w:szCs w:val="20"/>
              </w:rPr>
              <w:t>　</w:t>
            </w:r>
          </w:p>
        </w:tc>
      </w:tr>
      <w:tr w14:paraId="42160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0" w:type="dxa"/>
            <w:vMerge w:val="continue"/>
            <w:shd w:val="clear" w:color="auto" w:fill="auto"/>
            <w:noWrap w:val="0"/>
            <w:vAlign w:val="center"/>
          </w:tcPr>
          <w:p w14:paraId="4B007641">
            <w:pPr>
              <w:rPr>
                <w:color w:val="000000"/>
                <w:sz w:val="20"/>
                <w:szCs w:val="20"/>
              </w:rPr>
            </w:pPr>
          </w:p>
        </w:tc>
        <w:tc>
          <w:tcPr>
            <w:tcW w:w="1580" w:type="dxa"/>
            <w:vMerge w:val="continue"/>
            <w:shd w:val="clear" w:color="auto" w:fill="auto"/>
            <w:noWrap w:val="0"/>
            <w:vAlign w:val="center"/>
          </w:tcPr>
          <w:p w14:paraId="4C88B621">
            <w:pPr>
              <w:rPr>
                <w:color w:val="000000"/>
                <w:sz w:val="20"/>
                <w:szCs w:val="20"/>
              </w:rPr>
            </w:pPr>
          </w:p>
        </w:tc>
        <w:tc>
          <w:tcPr>
            <w:tcW w:w="4830" w:type="dxa"/>
            <w:shd w:val="clear" w:color="auto" w:fill="auto"/>
            <w:noWrap w:val="0"/>
            <w:vAlign w:val="center"/>
          </w:tcPr>
          <w:p w14:paraId="3318BBE6">
            <w:pPr>
              <w:rPr>
                <w:rFonts w:hint="eastAsia"/>
                <w:color w:val="000000"/>
                <w:sz w:val="20"/>
                <w:szCs w:val="20"/>
              </w:rPr>
            </w:pPr>
            <w:r>
              <w:rPr>
                <w:rFonts w:hint="eastAsia"/>
                <w:color w:val="000000"/>
                <w:sz w:val="20"/>
                <w:szCs w:val="20"/>
              </w:rPr>
              <w:t>4.线缆颜色:蓝色；</w:t>
            </w:r>
          </w:p>
        </w:tc>
        <w:tc>
          <w:tcPr>
            <w:tcW w:w="1300" w:type="dxa"/>
            <w:shd w:val="clear" w:color="auto" w:fill="auto"/>
            <w:noWrap/>
            <w:vAlign w:val="center"/>
          </w:tcPr>
          <w:p w14:paraId="3C358A7D">
            <w:pPr>
              <w:rPr>
                <w:rFonts w:hint="eastAsia"/>
                <w:color w:val="000000"/>
                <w:sz w:val="20"/>
                <w:szCs w:val="20"/>
              </w:rPr>
            </w:pPr>
            <w:r>
              <w:rPr>
                <w:rFonts w:hint="eastAsia"/>
                <w:color w:val="000000"/>
                <w:sz w:val="20"/>
                <w:szCs w:val="20"/>
              </w:rPr>
              <w:t>　</w:t>
            </w:r>
          </w:p>
        </w:tc>
      </w:tr>
      <w:tr w14:paraId="076E9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0" w:type="dxa"/>
            <w:vMerge w:val="continue"/>
            <w:shd w:val="clear" w:color="auto" w:fill="auto"/>
            <w:noWrap w:val="0"/>
            <w:vAlign w:val="center"/>
          </w:tcPr>
          <w:p w14:paraId="5E9B0305">
            <w:pPr>
              <w:rPr>
                <w:color w:val="000000"/>
                <w:sz w:val="20"/>
                <w:szCs w:val="20"/>
              </w:rPr>
            </w:pPr>
          </w:p>
        </w:tc>
        <w:tc>
          <w:tcPr>
            <w:tcW w:w="1580" w:type="dxa"/>
            <w:vMerge w:val="continue"/>
            <w:shd w:val="clear" w:color="auto" w:fill="auto"/>
            <w:noWrap w:val="0"/>
            <w:vAlign w:val="center"/>
          </w:tcPr>
          <w:p w14:paraId="72F3A175">
            <w:pPr>
              <w:rPr>
                <w:color w:val="000000"/>
                <w:sz w:val="20"/>
                <w:szCs w:val="20"/>
              </w:rPr>
            </w:pPr>
          </w:p>
        </w:tc>
        <w:tc>
          <w:tcPr>
            <w:tcW w:w="4830" w:type="dxa"/>
            <w:shd w:val="clear" w:color="auto" w:fill="auto"/>
            <w:noWrap w:val="0"/>
            <w:vAlign w:val="center"/>
          </w:tcPr>
          <w:p w14:paraId="7E4F715F">
            <w:pPr>
              <w:rPr>
                <w:rFonts w:hint="eastAsia"/>
                <w:color w:val="000000"/>
                <w:sz w:val="20"/>
                <w:szCs w:val="20"/>
              </w:rPr>
            </w:pPr>
            <w:r>
              <w:rPr>
                <w:rFonts w:hint="eastAsia"/>
                <w:color w:val="000000"/>
                <w:sz w:val="20"/>
                <w:szCs w:val="20"/>
              </w:rPr>
              <w:t>5.芯线规格:24AWG,无氧铜；</w:t>
            </w:r>
          </w:p>
        </w:tc>
        <w:tc>
          <w:tcPr>
            <w:tcW w:w="1300" w:type="dxa"/>
            <w:shd w:val="clear" w:color="auto" w:fill="auto"/>
            <w:noWrap/>
            <w:vAlign w:val="center"/>
          </w:tcPr>
          <w:p w14:paraId="6696462A">
            <w:pPr>
              <w:rPr>
                <w:rFonts w:hint="eastAsia"/>
                <w:color w:val="000000"/>
                <w:sz w:val="20"/>
                <w:szCs w:val="20"/>
              </w:rPr>
            </w:pPr>
            <w:r>
              <w:rPr>
                <w:rFonts w:hint="eastAsia"/>
                <w:color w:val="000000"/>
                <w:sz w:val="20"/>
                <w:szCs w:val="20"/>
              </w:rPr>
              <w:t>　</w:t>
            </w:r>
          </w:p>
        </w:tc>
      </w:tr>
      <w:tr w14:paraId="6E4A8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80" w:type="dxa"/>
            <w:vMerge w:val="continue"/>
            <w:shd w:val="clear" w:color="auto" w:fill="auto"/>
            <w:noWrap w:val="0"/>
            <w:vAlign w:val="center"/>
          </w:tcPr>
          <w:p w14:paraId="6992ABBE">
            <w:pPr>
              <w:rPr>
                <w:color w:val="000000"/>
                <w:sz w:val="20"/>
                <w:szCs w:val="20"/>
              </w:rPr>
            </w:pPr>
          </w:p>
        </w:tc>
        <w:tc>
          <w:tcPr>
            <w:tcW w:w="1580" w:type="dxa"/>
            <w:vMerge w:val="continue"/>
            <w:shd w:val="clear" w:color="auto" w:fill="auto"/>
            <w:noWrap w:val="0"/>
            <w:vAlign w:val="center"/>
          </w:tcPr>
          <w:p w14:paraId="07451AFB">
            <w:pPr>
              <w:rPr>
                <w:color w:val="000000"/>
                <w:sz w:val="20"/>
                <w:szCs w:val="20"/>
              </w:rPr>
            </w:pPr>
          </w:p>
        </w:tc>
        <w:tc>
          <w:tcPr>
            <w:tcW w:w="4830" w:type="dxa"/>
            <w:shd w:val="clear" w:color="auto" w:fill="auto"/>
            <w:noWrap w:val="0"/>
            <w:vAlign w:val="center"/>
          </w:tcPr>
          <w:p w14:paraId="68B999B7">
            <w:pPr>
              <w:rPr>
                <w:rFonts w:hint="eastAsia"/>
                <w:color w:val="000000"/>
                <w:sz w:val="20"/>
                <w:szCs w:val="20"/>
              </w:rPr>
            </w:pPr>
            <w:r>
              <w:rPr>
                <w:rFonts w:hint="eastAsia"/>
                <w:color w:val="000000"/>
                <w:sz w:val="20"/>
                <w:szCs w:val="20"/>
              </w:rPr>
              <w:t>6.线缆结构：4对8芯双绞线,每对之间采用十字骨架隔离,每芯均有颜色区分,外皮印有厂商标识及电缆编码，有撕裂绳；</w:t>
            </w:r>
          </w:p>
        </w:tc>
        <w:tc>
          <w:tcPr>
            <w:tcW w:w="1300" w:type="dxa"/>
            <w:shd w:val="clear" w:color="auto" w:fill="auto"/>
            <w:noWrap/>
            <w:vAlign w:val="center"/>
          </w:tcPr>
          <w:p w14:paraId="6C1E7A96">
            <w:pPr>
              <w:rPr>
                <w:rFonts w:hint="eastAsia"/>
                <w:color w:val="000000"/>
                <w:sz w:val="20"/>
                <w:szCs w:val="20"/>
              </w:rPr>
            </w:pPr>
            <w:r>
              <w:rPr>
                <w:rFonts w:hint="eastAsia"/>
                <w:color w:val="000000"/>
                <w:sz w:val="20"/>
                <w:szCs w:val="20"/>
              </w:rPr>
              <w:t>　</w:t>
            </w:r>
          </w:p>
        </w:tc>
      </w:tr>
      <w:tr w14:paraId="4EC92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0" w:hRule="atLeast"/>
        </w:trPr>
        <w:tc>
          <w:tcPr>
            <w:tcW w:w="780" w:type="dxa"/>
            <w:vMerge w:val="continue"/>
            <w:shd w:val="clear" w:color="auto" w:fill="auto"/>
            <w:noWrap w:val="0"/>
            <w:vAlign w:val="center"/>
          </w:tcPr>
          <w:p w14:paraId="26B19D88">
            <w:pPr>
              <w:rPr>
                <w:color w:val="000000"/>
                <w:sz w:val="20"/>
                <w:szCs w:val="20"/>
              </w:rPr>
            </w:pPr>
          </w:p>
        </w:tc>
        <w:tc>
          <w:tcPr>
            <w:tcW w:w="1580" w:type="dxa"/>
            <w:vMerge w:val="continue"/>
            <w:shd w:val="clear" w:color="auto" w:fill="auto"/>
            <w:noWrap w:val="0"/>
            <w:vAlign w:val="center"/>
          </w:tcPr>
          <w:p w14:paraId="62FA14BC">
            <w:pPr>
              <w:rPr>
                <w:color w:val="000000"/>
                <w:sz w:val="20"/>
                <w:szCs w:val="20"/>
              </w:rPr>
            </w:pPr>
          </w:p>
        </w:tc>
        <w:tc>
          <w:tcPr>
            <w:tcW w:w="4830" w:type="dxa"/>
            <w:shd w:val="clear" w:color="auto" w:fill="auto"/>
            <w:noWrap w:val="0"/>
            <w:vAlign w:val="center"/>
          </w:tcPr>
          <w:p w14:paraId="338ACC58">
            <w:pPr>
              <w:rPr>
                <w:rFonts w:hint="eastAsia"/>
                <w:color w:val="FF0000"/>
                <w:sz w:val="20"/>
                <w:szCs w:val="20"/>
              </w:rPr>
            </w:pPr>
            <w:r>
              <w:rPr>
                <w:rFonts w:hint="eastAsia"/>
                <w:color w:val="FF0000"/>
                <w:sz w:val="20"/>
                <w:szCs w:val="20"/>
              </w:rPr>
              <w:t>▲7.投标文件提供由第三方检测机构出具的具有“CMA”或“CNAS”标识的永久链路和单体测试报告复印件，原件备查；②该检测报告在检测机构官网或全国认证认可信息公共服务平台网站（http://cx.cnca.cn/CertECloud/qts/qts/qtsPage）的查询截图）。</w:t>
            </w:r>
          </w:p>
        </w:tc>
        <w:tc>
          <w:tcPr>
            <w:tcW w:w="1300" w:type="dxa"/>
            <w:shd w:val="clear" w:color="auto" w:fill="auto"/>
            <w:noWrap/>
            <w:vAlign w:val="center"/>
          </w:tcPr>
          <w:p w14:paraId="2E2F2E88">
            <w:pPr>
              <w:rPr>
                <w:rFonts w:hint="eastAsia"/>
                <w:color w:val="000000"/>
                <w:sz w:val="20"/>
                <w:szCs w:val="20"/>
              </w:rPr>
            </w:pPr>
            <w:r>
              <w:rPr>
                <w:rFonts w:hint="eastAsia"/>
                <w:color w:val="000000"/>
                <w:sz w:val="20"/>
                <w:szCs w:val="20"/>
              </w:rPr>
              <w:t>　</w:t>
            </w:r>
          </w:p>
        </w:tc>
      </w:tr>
      <w:tr w14:paraId="3A0F8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0" w:type="dxa"/>
            <w:shd w:val="clear" w:color="auto" w:fill="auto"/>
            <w:noWrap/>
            <w:vAlign w:val="center"/>
          </w:tcPr>
          <w:p w14:paraId="6F12D3B8">
            <w:pPr>
              <w:jc w:val="center"/>
              <w:rPr>
                <w:rFonts w:hint="eastAsia"/>
                <w:color w:val="000000"/>
                <w:sz w:val="20"/>
                <w:szCs w:val="20"/>
              </w:rPr>
            </w:pPr>
            <w:r>
              <w:rPr>
                <w:rFonts w:hint="eastAsia"/>
                <w:color w:val="000000"/>
                <w:sz w:val="20"/>
                <w:szCs w:val="20"/>
              </w:rPr>
              <w:t>8</w:t>
            </w:r>
          </w:p>
        </w:tc>
        <w:tc>
          <w:tcPr>
            <w:tcW w:w="1580" w:type="dxa"/>
            <w:shd w:val="clear" w:color="auto" w:fill="auto"/>
            <w:noWrap/>
            <w:vAlign w:val="center"/>
          </w:tcPr>
          <w:p w14:paraId="06FC3AE7">
            <w:pPr>
              <w:jc w:val="center"/>
              <w:rPr>
                <w:rFonts w:hint="eastAsia"/>
                <w:color w:val="000000"/>
                <w:sz w:val="20"/>
                <w:szCs w:val="20"/>
              </w:rPr>
            </w:pPr>
            <w:r>
              <w:rPr>
                <w:rFonts w:hint="eastAsia"/>
                <w:color w:val="000000"/>
                <w:sz w:val="20"/>
                <w:szCs w:val="20"/>
              </w:rPr>
              <w:t>安装调试</w:t>
            </w:r>
          </w:p>
        </w:tc>
        <w:tc>
          <w:tcPr>
            <w:tcW w:w="4830" w:type="dxa"/>
            <w:shd w:val="clear" w:color="auto" w:fill="auto"/>
            <w:noWrap w:val="0"/>
            <w:vAlign w:val="center"/>
          </w:tcPr>
          <w:p w14:paraId="0A8370DD">
            <w:pPr>
              <w:rPr>
                <w:rFonts w:hint="eastAsia"/>
                <w:color w:val="000000"/>
                <w:sz w:val="20"/>
                <w:szCs w:val="20"/>
              </w:rPr>
            </w:pPr>
            <w:r>
              <w:rPr>
                <w:rFonts w:hint="eastAsia"/>
                <w:color w:val="000000"/>
                <w:sz w:val="20"/>
                <w:szCs w:val="20"/>
              </w:rPr>
              <w:t>1.全部设备的安装调试及使用培训。</w:t>
            </w:r>
          </w:p>
        </w:tc>
        <w:tc>
          <w:tcPr>
            <w:tcW w:w="1300" w:type="dxa"/>
            <w:shd w:val="clear" w:color="auto" w:fill="auto"/>
            <w:noWrap/>
            <w:vAlign w:val="center"/>
          </w:tcPr>
          <w:p w14:paraId="0A466504">
            <w:pPr>
              <w:rPr>
                <w:rFonts w:hint="eastAsia"/>
                <w:color w:val="000000"/>
                <w:sz w:val="20"/>
                <w:szCs w:val="20"/>
              </w:rPr>
            </w:pPr>
            <w:r>
              <w:rPr>
                <w:rFonts w:hint="eastAsia"/>
                <w:color w:val="000000"/>
                <w:sz w:val="20"/>
                <w:szCs w:val="20"/>
              </w:rPr>
              <w:t>　</w:t>
            </w:r>
          </w:p>
        </w:tc>
      </w:tr>
    </w:tbl>
    <w:p w14:paraId="3B33A619">
      <w:pPr>
        <w:ind w:firstLine="420" w:firstLineChars="200"/>
        <w:rPr>
          <w:b w:val="0"/>
          <w:bCs/>
          <w:szCs w:val="21"/>
        </w:rPr>
      </w:pPr>
    </w:p>
    <w:p w14:paraId="1FDA838F">
      <w:pPr>
        <w:ind w:firstLine="420" w:firstLineChars="200"/>
        <w:rPr>
          <w:b w:val="0"/>
          <w:bCs/>
          <w:szCs w:val="21"/>
        </w:rPr>
      </w:pPr>
      <w:r>
        <w:rPr>
          <w:b w:val="0"/>
          <w:bCs/>
          <w:szCs w:val="21"/>
        </w:rPr>
        <w:t>说明：</w:t>
      </w:r>
    </w:p>
    <w:p w14:paraId="02C29F7D">
      <w:pPr>
        <w:ind w:firstLine="420" w:firstLineChars="200"/>
        <w:rPr>
          <w:b w:val="0"/>
          <w:bCs/>
        </w:rPr>
      </w:pPr>
      <w:r>
        <w:rPr>
          <w:b w:val="0"/>
          <w:bCs/>
        </w:rPr>
        <w:t>1、评分时，如对一项招标技术要求（以划分框为准）中的内容存在两处（或以上）负偏离的，在评分时只作一项负偏离扣分。</w:t>
      </w:r>
    </w:p>
    <w:p w14:paraId="03908AC1">
      <w:pPr>
        <w:ind w:firstLine="420" w:firstLineChars="200"/>
        <w:rPr>
          <w:b w:val="0"/>
          <w:bCs/>
          <w:color w:val="FF0000"/>
        </w:rPr>
      </w:pPr>
      <w:r>
        <w:rPr>
          <w:b w:val="0"/>
          <w:bCs/>
          <w:color w:val="FF0000"/>
        </w:rPr>
        <w:t>2、本项目技术需求中要求提供的各项证明材料均提供扫描件，原件备查。如投标人未按要求提供的，或提供的材料未能证明所投产品响应情况的，则该参数视为没有满足招标文件要求，将根据参数情况产生以下影响：</w:t>
      </w:r>
    </w:p>
    <w:p w14:paraId="099292F5">
      <w:pPr>
        <w:ind w:firstLine="420" w:firstLineChars="200"/>
        <w:rPr>
          <w:b w:val="0"/>
          <w:bCs/>
          <w:color w:val="FF0000"/>
        </w:rPr>
      </w:pPr>
      <w:r>
        <w:rPr>
          <w:b w:val="0"/>
          <w:bCs/>
          <w:color w:val="FF0000"/>
        </w:rPr>
        <w:t>（1）如项目技术要求中设置了“</w:t>
      </w:r>
      <w:r>
        <w:rPr>
          <w:rFonts w:hint="eastAsia"/>
          <w:b w:val="0"/>
          <w:bCs/>
          <w:color w:val="FF0000"/>
        </w:rPr>
        <w:t>★</w:t>
      </w:r>
      <w:r>
        <w:rPr>
          <w:b w:val="0"/>
          <w:bCs/>
          <w:color w:val="FF0000"/>
        </w:rPr>
        <w:t>”号的参数，则该项参数为关键性技术指标，投标人所投产品必须满足，否则视为没有实质性满足招标文件要求。</w:t>
      </w:r>
    </w:p>
    <w:p w14:paraId="76C6BCB6">
      <w:pPr>
        <w:ind w:firstLine="420" w:firstLineChars="200"/>
        <w:rPr>
          <w:b w:val="0"/>
          <w:bCs/>
          <w:color w:val="FF0000"/>
        </w:rPr>
      </w:pPr>
      <w:r>
        <w:rPr>
          <w:b w:val="0"/>
          <w:bCs/>
          <w:color w:val="FF0000"/>
        </w:rPr>
        <w:t>（2）如项目技术要求中设置了“▲”号的参数，则该项参数为重要技术指标，将在“产品技术指标符合程度评价”评分项中作为重点评价指标。</w:t>
      </w:r>
    </w:p>
    <w:p w14:paraId="11D561D1">
      <w:pPr>
        <w:ind w:firstLine="420" w:firstLineChars="200"/>
        <w:rPr>
          <w:b w:val="0"/>
          <w:bCs/>
          <w:color w:val="FF0000"/>
        </w:rPr>
      </w:pPr>
      <w:r>
        <w:rPr>
          <w:b w:val="0"/>
          <w:bCs/>
          <w:color w:val="FF0000"/>
        </w:rPr>
        <w:t>（3）如项目技术要求中未设置“</w:t>
      </w:r>
      <w:r>
        <w:rPr>
          <w:rFonts w:hint="eastAsia"/>
          <w:b w:val="0"/>
          <w:bCs/>
          <w:color w:val="FF0000"/>
        </w:rPr>
        <w:t>★</w:t>
      </w:r>
      <w:r>
        <w:rPr>
          <w:b w:val="0"/>
          <w:bCs/>
          <w:color w:val="FF0000"/>
        </w:rPr>
        <w:t>”或“▲”号的参数，则该项参数为普通技术指标，将在“产品技术指标符合程度评价”评分项中作为评价指标。</w:t>
      </w:r>
    </w:p>
    <w:p w14:paraId="7E4881F5">
      <w:pPr>
        <w:ind w:firstLine="420" w:firstLineChars="200"/>
        <w:rPr>
          <w:rFonts w:hint="eastAsia"/>
          <w:b/>
          <w:bCs/>
        </w:rPr>
      </w:pPr>
      <w:r>
        <w:rPr>
          <w:b/>
          <w:bCs/>
        </w:rPr>
        <w:t>3</w:t>
      </w:r>
      <w:r>
        <w:rPr>
          <w:rFonts w:hint="eastAsia"/>
          <w:b/>
          <w:bCs/>
        </w:rPr>
        <w:t>、技术参数设置为区间要求的，产品参数区间应至少包含招标要求参数区间，如某技术参数要求在</w:t>
      </w:r>
      <w:r>
        <w:rPr>
          <w:b/>
          <w:bCs/>
        </w:rPr>
        <w:t>0-100</w:t>
      </w:r>
      <w:r>
        <w:rPr>
          <w:rFonts w:hint="eastAsia"/>
          <w:b/>
          <w:bCs/>
        </w:rPr>
        <w:t>单位，响应的区间应至少包含“</w:t>
      </w:r>
      <w:r>
        <w:rPr>
          <w:b/>
          <w:bCs/>
        </w:rPr>
        <w:t>0-100</w:t>
      </w:r>
      <w:r>
        <w:rPr>
          <w:rFonts w:hint="eastAsia"/>
          <w:b/>
          <w:bCs/>
        </w:rPr>
        <w:t>单位”（例如“</w:t>
      </w:r>
      <w:r>
        <w:rPr>
          <w:b/>
          <w:bCs/>
        </w:rPr>
        <w:t>0-100</w:t>
      </w:r>
      <w:r>
        <w:rPr>
          <w:rFonts w:hint="eastAsia"/>
          <w:b/>
          <w:bCs/>
        </w:rPr>
        <w:t>”、“</w:t>
      </w:r>
      <w:r>
        <w:rPr>
          <w:b/>
          <w:bCs/>
        </w:rPr>
        <w:t>0-101</w:t>
      </w:r>
      <w:r>
        <w:rPr>
          <w:rFonts w:hint="eastAsia"/>
          <w:b/>
          <w:bCs/>
        </w:rPr>
        <w:t>”••••••），否则视为负偏离。</w:t>
      </w:r>
    </w:p>
    <w:p w14:paraId="57B21B2C">
      <w:pPr>
        <w:ind w:firstLine="420" w:firstLineChars="200"/>
        <w:rPr>
          <w:rFonts w:hint="eastAsia"/>
          <w:b/>
          <w:bCs/>
        </w:rPr>
      </w:pPr>
    </w:p>
    <w:p w14:paraId="36BB08BD">
      <w:pPr>
        <w:widowControl/>
        <w:jc w:val="left"/>
        <w:rPr>
          <w:rStyle w:val="55"/>
          <w:rFonts w:hint="default"/>
          <w:color w:val="auto"/>
        </w:rPr>
      </w:pPr>
    </w:p>
    <w:p w14:paraId="6BF56ECE">
      <w:pPr>
        <w:widowControl/>
        <w:jc w:val="left"/>
        <w:rPr>
          <w:rStyle w:val="55"/>
          <w:rFonts w:hint="default"/>
          <w:color w:val="auto"/>
        </w:rPr>
      </w:pPr>
    </w:p>
    <w:p w14:paraId="5E901D68">
      <w:pPr>
        <w:widowControl/>
        <w:jc w:val="left"/>
        <w:rPr>
          <w:rStyle w:val="55"/>
          <w:rFonts w:hint="default"/>
          <w:color w:val="auto"/>
        </w:rPr>
      </w:pPr>
    </w:p>
    <w:p w14:paraId="39C418C9">
      <w:pPr>
        <w:widowControl/>
        <w:jc w:val="left"/>
        <w:rPr>
          <w:rStyle w:val="55"/>
          <w:rFonts w:hint="default"/>
          <w:color w:val="auto"/>
        </w:rPr>
      </w:pPr>
    </w:p>
    <w:p w14:paraId="0F8764C2">
      <w:pPr>
        <w:widowControl/>
        <w:jc w:val="left"/>
        <w:rPr>
          <w:rStyle w:val="55"/>
          <w:rFonts w:hint="default"/>
          <w:color w:val="auto"/>
        </w:rPr>
      </w:pPr>
    </w:p>
    <w:p w14:paraId="6EA3CBE2">
      <w:pPr>
        <w:widowControl/>
        <w:jc w:val="left"/>
        <w:rPr>
          <w:rStyle w:val="55"/>
          <w:rFonts w:hint="default"/>
          <w:color w:val="auto"/>
        </w:rPr>
      </w:pPr>
    </w:p>
    <w:p w14:paraId="195824E3">
      <w:pPr>
        <w:widowControl/>
        <w:jc w:val="left"/>
        <w:rPr>
          <w:rStyle w:val="55"/>
          <w:rFonts w:hint="default"/>
          <w:color w:val="auto"/>
        </w:rPr>
      </w:pPr>
    </w:p>
    <w:p w14:paraId="21A11D5B">
      <w:pPr>
        <w:widowControl/>
        <w:jc w:val="left"/>
        <w:rPr>
          <w:rStyle w:val="55"/>
          <w:rFonts w:hint="default"/>
          <w:color w:val="auto"/>
        </w:rPr>
      </w:pPr>
    </w:p>
    <w:p w14:paraId="35511C45">
      <w:pPr>
        <w:widowControl/>
        <w:jc w:val="left"/>
        <w:rPr>
          <w:rStyle w:val="55"/>
          <w:rFonts w:hint="default"/>
          <w:color w:val="auto"/>
        </w:rPr>
      </w:pPr>
    </w:p>
    <w:p w14:paraId="7296049A">
      <w:pPr>
        <w:widowControl/>
        <w:jc w:val="left"/>
        <w:rPr>
          <w:rStyle w:val="55"/>
          <w:rFonts w:hint="default"/>
          <w:color w:val="auto"/>
        </w:rPr>
      </w:pPr>
    </w:p>
    <w:p w14:paraId="02D04FC2">
      <w:pPr>
        <w:widowControl/>
        <w:jc w:val="left"/>
        <w:rPr>
          <w:rStyle w:val="55"/>
          <w:rFonts w:hint="default"/>
          <w:color w:val="auto"/>
        </w:rPr>
      </w:pPr>
    </w:p>
    <w:p w14:paraId="2C017653">
      <w:pPr>
        <w:widowControl/>
        <w:jc w:val="left"/>
        <w:rPr>
          <w:rStyle w:val="55"/>
          <w:rFonts w:hint="default"/>
          <w:color w:val="auto"/>
        </w:rPr>
      </w:pPr>
    </w:p>
    <w:p w14:paraId="04A2406E">
      <w:pPr>
        <w:widowControl/>
        <w:jc w:val="left"/>
        <w:rPr>
          <w:rStyle w:val="55"/>
          <w:rFonts w:hint="default"/>
          <w:color w:val="auto"/>
        </w:rPr>
      </w:pPr>
    </w:p>
    <w:p w14:paraId="3FF24B18">
      <w:pPr>
        <w:widowControl/>
        <w:jc w:val="left"/>
        <w:rPr>
          <w:rStyle w:val="55"/>
          <w:rFonts w:hint="default"/>
          <w:color w:val="auto"/>
        </w:rPr>
      </w:pPr>
    </w:p>
    <w:p w14:paraId="0C0B74C3">
      <w:pPr>
        <w:widowControl/>
        <w:jc w:val="left"/>
        <w:rPr>
          <w:rStyle w:val="55"/>
          <w:rFonts w:hint="default"/>
          <w:color w:val="auto"/>
        </w:rPr>
      </w:pPr>
    </w:p>
    <w:p w14:paraId="6F1532E3">
      <w:pPr>
        <w:widowControl/>
        <w:jc w:val="left"/>
        <w:rPr>
          <w:rStyle w:val="55"/>
          <w:rFonts w:hint="default"/>
          <w:color w:val="auto"/>
        </w:rPr>
      </w:pPr>
    </w:p>
    <w:p w14:paraId="231780C1">
      <w:pPr>
        <w:widowControl/>
        <w:jc w:val="left"/>
        <w:rPr>
          <w:rStyle w:val="55"/>
          <w:rFonts w:hint="default"/>
          <w:color w:val="auto"/>
        </w:rPr>
      </w:pPr>
    </w:p>
    <w:p w14:paraId="6F8D862D">
      <w:pPr>
        <w:widowControl/>
        <w:jc w:val="left"/>
        <w:rPr>
          <w:rStyle w:val="55"/>
          <w:rFonts w:hint="default"/>
          <w:color w:val="auto"/>
        </w:rPr>
      </w:pPr>
    </w:p>
    <w:p w14:paraId="717F56FA">
      <w:pPr>
        <w:widowControl/>
        <w:jc w:val="left"/>
        <w:rPr>
          <w:rStyle w:val="55"/>
          <w:rFonts w:hint="default"/>
          <w:color w:val="auto"/>
        </w:rPr>
      </w:pPr>
    </w:p>
    <w:p w14:paraId="49E33852">
      <w:pPr>
        <w:widowControl/>
        <w:jc w:val="left"/>
        <w:rPr>
          <w:rStyle w:val="55"/>
          <w:rFonts w:hint="default"/>
          <w:color w:val="auto"/>
        </w:rPr>
      </w:pPr>
    </w:p>
    <w:p w14:paraId="48FF788B">
      <w:pPr>
        <w:widowControl/>
        <w:jc w:val="left"/>
        <w:rPr>
          <w:rStyle w:val="55"/>
          <w:rFonts w:hint="default"/>
          <w:color w:val="auto"/>
        </w:rPr>
      </w:pPr>
    </w:p>
    <w:p w14:paraId="12172E7E">
      <w:pPr>
        <w:widowControl/>
        <w:jc w:val="left"/>
        <w:rPr>
          <w:rStyle w:val="55"/>
          <w:rFonts w:hint="default"/>
          <w:color w:val="auto"/>
        </w:rPr>
      </w:pPr>
    </w:p>
    <w:p w14:paraId="1F6DD24C">
      <w:pPr>
        <w:widowControl/>
        <w:jc w:val="left"/>
        <w:rPr>
          <w:rStyle w:val="55"/>
          <w:rFonts w:hint="default"/>
          <w:color w:val="auto"/>
        </w:rPr>
      </w:pPr>
    </w:p>
    <w:p w14:paraId="732FA302">
      <w:pPr>
        <w:widowControl/>
        <w:jc w:val="left"/>
        <w:rPr>
          <w:rStyle w:val="55"/>
          <w:rFonts w:hint="default"/>
          <w:color w:val="auto"/>
        </w:rPr>
      </w:pPr>
    </w:p>
    <w:p w14:paraId="7A84993B">
      <w:pPr>
        <w:widowControl/>
        <w:jc w:val="left"/>
        <w:rPr>
          <w:rStyle w:val="55"/>
          <w:rFonts w:hint="default"/>
          <w:color w:val="auto"/>
        </w:rPr>
      </w:pPr>
    </w:p>
    <w:p w14:paraId="28C75BAF">
      <w:pPr>
        <w:widowControl/>
        <w:jc w:val="left"/>
        <w:rPr>
          <w:rStyle w:val="55"/>
          <w:rFonts w:hint="default"/>
          <w:color w:val="auto"/>
        </w:rPr>
      </w:pPr>
    </w:p>
    <w:p w14:paraId="0A1D18A6">
      <w:pPr>
        <w:widowControl/>
        <w:jc w:val="left"/>
        <w:rPr>
          <w:rStyle w:val="55"/>
          <w:rFonts w:hint="default"/>
          <w:color w:val="auto"/>
        </w:rPr>
      </w:pPr>
    </w:p>
    <w:p w14:paraId="0595FCE8">
      <w:pPr>
        <w:widowControl/>
        <w:jc w:val="left"/>
        <w:rPr>
          <w:rStyle w:val="55"/>
          <w:rFonts w:hint="default"/>
          <w:color w:val="auto"/>
        </w:rPr>
      </w:pPr>
    </w:p>
    <w:p w14:paraId="51A72CBD">
      <w:pPr>
        <w:widowControl/>
        <w:jc w:val="left"/>
        <w:rPr>
          <w:rStyle w:val="55"/>
          <w:rFonts w:hint="default"/>
          <w:color w:val="auto"/>
        </w:rPr>
      </w:pPr>
    </w:p>
    <w:p w14:paraId="7C93BCC4">
      <w:pPr>
        <w:widowControl/>
        <w:jc w:val="left"/>
        <w:rPr>
          <w:rStyle w:val="55"/>
          <w:rFonts w:hint="default"/>
          <w:color w:val="auto"/>
        </w:rPr>
      </w:pPr>
    </w:p>
    <w:p w14:paraId="6E5483D1">
      <w:pPr>
        <w:widowControl/>
        <w:jc w:val="left"/>
        <w:rPr>
          <w:rStyle w:val="55"/>
          <w:rFonts w:hint="default"/>
          <w:color w:val="auto"/>
        </w:rPr>
      </w:pPr>
    </w:p>
    <w:p w14:paraId="60482496">
      <w:pPr>
        <w:widowControl/>
        <w:jc w:val="left"/>
        <w:rPr>
          <w:rStyle w:val="55"/>
          <w:rFonts w:hint="default"/>
          <w:color w:val="auto"/>
        </w:rPr>
      </w:pPr>
    </w:p>
    <w:p w14:paraId="2467A6F0">
      <w:pPr>
        <w:widowControl/>
        <w:jc w:val="left"/>
        <w:rPr>
          <w:rStyle w:val="55"/>
          <w:rFonts w:hint="default"/>
          <w:color w:val="auto"/>
        </w:rPr>
      </w:pPr>
    </w:p>
    <w:p w14:paraId="3E62F3EC">
      <w:pPr>
        <w:widowControl/>
        <w:jc w:val="left"/>
        <w:rPr>
          <w:rStyle w:val="55"/>
          <w:rFonts w:hint="default"/>
          <w:color w:val="auto"/>
        </w:rPr>
      </w:pPr>
      <w:r>
        <w:rPr>
          <w:rStyle w:val="55"/>
          <w:rFonts w:hint="default"/>
          <w:color w:val="auto"/>
        </w:rPr>
        <w:t>附件4：售后服务响应</w:t>
      </w:r>
    </w:p>
    <w:p w14:paraId="607E5671">
      <w:pPr>
        <w:pStyle w:val="21"/>
        <w:ind w:firstLine="0"/>
        <w:rPr>
          <w:szCs w:val="21"/>
        </w:rPr>
      </w:pPr>
    </w:p>
    <w:p w14:paraId="2744B1EE">
      <w:pPr>
        <w:pStyle w:val="21"/>
        <w:ind w:firstLine="0"/>
        <w:rPr>
          <w:szCs w:val="21"/>
        </w:rPr>
      </w:pPr>
      <w:r>
        <w:rPr>
          <w:rFonts w:hint="eastAsia"/>
          <w:szCs w:val="21"/>
        </w:rPr>
        <w:t>1、交货要求：签订合同</w:t>
      </w:r>
      <w:r>
        <w:rPr>
          <w:rFonts w:hint="eastAsia"/>
          <w:szCs w:val="21"/>
          <w:u w:val="single"/>
        </w:rPr>
        <w:t xml:space="preserve"> 45</w:t>
      </w:r>
      <w:r>
        <w:rPr>
          <w:rFonts w:hint="eastAsia"/>
          <w:szCs w:val="21"/>
        </w:rPr>
        <w:t>个日历日内交货。免费送货上门、安装、调试、验收、培训。</w:t>
      </w:r>
    </w:p>
    <w:p w14:paraId="219339E5">
      <w:pPr>
        <w:pStyle w:val="21"/>
        <w:ind w:firstLine="0"/>
        <w:rPr>
          <w:szCs w:val="21"/>
        </w:rPr>
      </w:pPr>
      <w:r>
        <w:rPr>
          <w:rFonts w:hint="eastAsia"/>
          <w:szCs w:val="21"/>
        </w:rPr>
        <w:t>2、质保期要求：项目整体质保</w:t>
      </w:r>
      <w:r>
        <w:rPr>
          <w:rFonts w:hint="eastAsia"/>
          <w:color w:val="FF0000"/>
          <w:szCs w:val="21"/>
          <w:u w:val="single"/>
        </w:rPr>
        <w:t xml:space="preserve"> </w:t>
      </w:r>
      <w:r>
        <w:rPr>
          <w:rFonts w:hint="eastAsia"/>
          <w:color w:val="000000" w:themeColor="text1"/>
          <w:szCs w:val="21"/>
          <w:u w:val="single"/>
          <w:lang w:val="en-US" w:eastAsia="zh-CN"/>
          <w14:textFill>
            <w14:solidFill>
              <w14:schemeClr w14:val="tx1"/>
            </w14:solidFill>
          </w14:textFill>
        </w:rPr>
        <w:t>2</w:t>
      </w:r>
      <w:r>
        <w:rPr>
          <w:rFonts w:hint="eastAsia"/>
          <w:color w:val="000000" w:themeColor="text1"/>
          <w:szCs w:val="21"/>
          <w:u w:val="single"/>
          <w14:textFill>
            <w14:solidFill>
              <w14:schemeClr w14:val="tx1"/>
            </w14:solidFill>
          </w14:textFill>
        </w:rPr>
        <w:t xml:space="preserve"> </w:t>
      </w:r>
      <w:r>
        <w:rPr>
          <w:rFonts w:hint="eastAsia"/>
          <w:szCs w:val="21"/>
        </w:rPr>
        <w:t>年。</w:t>
      </w:r>
    </w:p>
    <w:p w14:paraId="394208E0">
      <w:pPr>
        <w:autoSpaceDE w:val="0"/>
        <w:autoSpaceDN w:val="0"/>
        <w:adjustRightInd w:val="0"/>
        <w:jc w:val="left"/>
        <w:rPr>
          <w:rFonts w:ascii="宋体"/>
          <w:szCs w:val="21"/>
        </w:rPr>
      </w:pPr>
      <w:r>
        <w:rPr>
          <w:rFonts w:ascii="宋体"/>
          <w:szCs w:val="21"/>
        </w:rPr>
        <w:t>3</w:t>
      </w:r>
      <w:r>
        <w:rPr>
          <w:rFonts w:hint="eastAsia" w:ascii="宋体"/>
          <w:szCs w:val="21"/>
        </w:rPr>
        <w:t>、中标供应商应提供售后服务队伍名称、资质、人员配备、联系地址、电话等详细资料，以及书</w:t>
      </w:r>
    </w:p>
    <w:p w14:paraId="72941773">
      <w:pPr>
        <w:pStyle w:val="21"/>
        <w:ind w:firstLine="0"/>
        <w:rPr>
          <w:szCs w:val="21"/>
        </w:rPr>
      </w:pPr>
      <w:r>
        <w:rPr>
          <w:rFonts w:hint="eastAsia"/>
          <w:szCs w:val="21"/>
        </w:rPr>
        <w:t>面提出用户人员操作培训、长期保修、维护服务和今后技术支持的措施计划和承诺。</w:t>
      </w:r>
    </w:p>
    <w:p w14:paraId="040FB02A">
      <w:pPr>
        <w:pStyle w:val="21"/>
        <w:ind w:firstLine="0"/>
        <w:rPr>
          <w:szCs w:val="21"/>
        </w:rPr>
      </w:pPr>
      <w:r>
        <w:rPr>
          <w:rFonts w:hint="eastAsia"/>
          <w:szCs w:val="21"/>
        </w:rPr>
        <w:t>4、故障响应要求：提供</w:t>
      </w:r>
      <w:r>
        <w:rPr>
          <w:rFonts w:hint="eastAsia"/>
          <w:szCs w:val="21"/>
          <w:u w:val="single"/>
        </w:rPr>
        <w:t xml:space="preserve"> 整</w:t>
      </w:r>
      <w:r>
        <w:rPr>
          <w:rFonts w:hint="eastAsia"/>
          <w:szCs w:val="21"/>
        </w:rPr>
        <w:t xml:space="preserve"> 年</w:t>
      </w:r>
      <w:r>
        <w:rPr>
          <w:rFonts w:hint="eastAsia"/>
          <w:szCs w:val="21"/>
          <w:u w:val="single"/>
        </w:rPr>
        <w:t xml:space="preserve"> 7天 * 24 </w:t>
      </w:r>
      <w:r>
        <w:rPr>
          <w:rFonts w:hint="eastAsia"/>
          <w:szCs w:val="21"/>
        </w:rPr>
        <w:t>小时</w:t>
      </w:r>
      <w:r>
        <w:rPr>
          <w:rFonts w:hint="eastAsia"/>
          <w:szCs w:val="21"/>
          <w:lang w:val="en-US" w:eastAsia="zh-CN"/>
        </w:rPr>
        <w:t>电话咨询服务</w:t>
      </w:r>
      <w:r>
        <w:rPr>
          <w:rFonts w:hint="eastAsia"/>
          <w:szCs w:val="21"/>
        </w:rPr>
        <w:t>；</w:t>
      </w:r>
      <w:r>
        <w:rPr>
          <w:rFonts w:hint="eastAsia"/>
          <w:szCs w:val="21"/>
          <w:lang w:val="en-US" w:eastAsia="zh-CN"/>
        </w:rPr>
        <w:t>并及时答复甲方提出的有关项目技术上的问题，并免费为甲方提供有关文档资料。正常工作时间故障响应时间应不超过</w:t>
      </w:r>
      <w:r>
        <w:rPr>
          <w:rFonts w:hint="eastAsia"/>
          <w:szCs w:val="21"/>
          <w:u w:val="single"/>
        </w:rPr>
        <w:t xml:space="preserve"> 2 </w:t>
      </w:r>
      <w:r>
        <w:rPr>
          <w:rFonts w:hint="eastAsia"/>
          <w:szCs w:val="21"/>
        </w:rPr>
        <w:t xml:space="preserve">小时，故障报修后第 </w:t>
      </w:r>
      <w:r>
        <w:rPr>
          <w:rFonts w:hint="eastAsia"/>
          <w:szCs w:val="21"/>
          <w:u w:val="single"/>
        </w:rPr>
        <w:t xml:space="preserve">1 </w:t>
      </w:r>
      <w:r>
        <w:rPr>
          <w:rFonts w:hint="eastAsia"/>
          <w:szCs w:val="21"/>
        </w:rPr>
        <w:t>个工作日现场服务；</w:t>
      </w:r>
      <w:r>
        <w:rPr>
          <w:rFonts w:hint="eastAsia"/>
          <w:szCs w:val="21"/>
          <w:u w:val="single"/>
        </w:rPr>
        <w:t xml:space="preserve"> 2 </w:t>
      </w:r>
      <w:r>
        <w:rPr>
          <w:rFonts w:hint="eastAsia"/>
          <w:szCs w:val="21"/>
        </w:rPr>
        <w:t>个工作日解决问题，否则在</w:t>
      </w:r>
      <w:r>
        <w:rPr>
          <w:rFonts w:hint="eastAsia"/>
          <w:szCs w:val="21"/>
          <w:u w:val="single"/>
        </w:rPr>
        <w:t xml:space="preserve"> 2 </w:t>
      </w:r>
      <w:r>
        <w:rPr>
          <w:rFonts w:hint="eastAsia"/>
          <w:szCs w:val="21"/>
        </w:rPr>
        <w:t>个工作日内免费提供备机,备机免费送至市内指定办公地点。</w:t>
      </w:r>
    </w:p>
    <w:p w14:paraId="6BC36C94">
      <w:pPr>
        <w:pStyle w:val="21"/>
        <w:ind w:firstLine="0"/>
        <w:rPr>
          <w:szCs w:val="21"/>
        </w:rPr>
      </w:pPr>
      <w:r>
        <w:rPr>
          <w:rFonts w:hint="eastAsia"/>
          <w:szCs w:val="21"/>
        </w:rPr>
        <w:t>5、提供的货物必须为全新货物；享受法定三包售后服务的商品，售后服务标准不得低于国家强制性三包服务标准。</w:t>
      </w:r>
    </w:p>
    <w:p w14:paraId="2F839A18">
      <w:pPr>
        <w:pStyle w:val="21"/>
        <w:ind w:firstLine="0"/>
        <w:rPr>
          <w:szCs w:val="21"/>
        </w:rPr>
      </w:pPr>
      <w:r>
        <w:rPr>
          <w:rFonts w:hint="eastAsia"/>
          <w:szCs w:val="21"/>
        </w:rPr>
        <w:t>6、在保质期满以后，中标供应商为此设备应以优惠价格终生提供保障其正常运行的配件和维护并能提供送货上门服务（以设备正常使用年限为限）。</w:t>
      </w:r>
    </w:p>
    <w:p w14:paraId="7BD578DE">
      <w:pPr>
        <w:pStyle w:val="21"/>
        <w:ind w:firstLine="0"/>
        <w:rPr>
          <w:szCs w:val="21"/>
        </w:rPr>
      </w:pPr>
      <w:r>
        <w:rPr>
          <w:rFonts w:hint="eastAsia"/>
          <w:szCs w:val="21"/>
        </w:rPr>
        <w:t>7、备件备品要求：在质保期内，中标供应商应无偿并迅速更换由于元件缺陷及制造工艺等问题而</w:t>
      </w:r>
    </w:p>
    <w:p w14:paraId="27A8827A">
      <w:pPr>
        <w:pStyle w:val="21"/>
        <w:ind w:firstLine="0"/>
        <w:rPr>
          <w:szCs w:val="21"/>
        </w:rPr>
      </w:pPr>
      <w:r>
        <w:rPr>
          <w:rFonts w:hint="eastAsia"/>
          <w:szCs w:val="21"/>
        </w:rPr>
        <w:t>发生故障的产品，质保期满以后，中标供应商应按其在深圳地区同类产品的优惠价格提供保修服</w:t>
      </w:r>
    </w:p>
    <w:p w14:paraId="4111AB24">
      <w:pPr>
        <w:pStyle w:val="21"/>
        <w:ind w:firstLine="0"/>
        <w:rPr>
          <w:szCs w:val="21"/>
        </w:rPr>
      </w:pPr>
      <w:r>
        <w:rPr>
          <w:rFonts w:hint="eastAsia"/>
          <w:szCs w:val="21"/>
        </w:rPr>
        <w:t>务。</w:t>
      </w:r>
    </w:p>
    <w:p w14:paraId="2974E99E">
      <w:pPr>
        <w:ind w:firstLine="420" w:firstLineChars="200"/>
        <w:rPr>
          <w:rFonts w:hint="eastAsia"/>
          <w:b/>
          <w:bCs/>
        </w:rPr>
      </w:pPr>
    </w:p>
    <w:p w14:paraId="0B313507">
      <w:pPr>
        <w:ind w:firstLine="420" w:firstLineChars="200"/>
        <w:rPr>
          <w:rFonts w:hint="eastAsia"/>
          <w:b/>
          <w:bCs/>
        </w:rPr>
      </w:pPr>
    </w:p>
    <w:p w14:paraId="0FE41F67">
      <w:pPr>
        <w:ind w:firstLine="420" w:firstLineChars="200"/>
        <w:rPr>
          <w:rFonts w:hint="eastAsia"/>
          <w:b/>
          <w:bCs/>
        </w:rPr>
      </w:pPr>
    </w:p>
    <w:p w14:paraId="7887FA10"/>
    <w:p w14:paraId="1615F11E"/>
    <w:sectPr>
      <w:headerReference r:id="rId4" w:type="first"/>
      <w:footerReference r:id="rId7" w:type="first"/>
      <w:headerReference r:id="rId3" w:type="default"/>
      <w:footerReference r:id="rId5" w:type="default"/>
      <w:footerReference r:id="rId6" w:type="even"/>
      <w:pgSz w:w="11907" w:h="16840"/>
      <w:pgMar w:top="1247" w:right="1440" w:bottom="1089" w:left="1440" w:header="851" w:footer="992" w:gutter="0"/>
      <w:pgBorders>
        <w:top w:val="none" w:sz="0" w:space="0"/>
        <w:left w:val="none" w:sz="0" w:space="0"/>
        <w:bottom w:val="none" w:sz="0" w:space="0"/>
        <w:right w:val="none" w:sz="0" w:space="0"/>
      </w:pgBorders>
      <w:pgNumType w:start="1"/>
      <w:cols w:space="425"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创艺简黑体">
    <w:altName w:val="黑体"/>
    <w:panose1 w:val="00000000000000000000"/>
    <w:charset w:val="86"/>
    <w:family w:val="auto"/>
    <w:pitch w:val="default"/>
    <w:sig w:usb0="00000000" w:usb1="00000000" w:usb2="00000010" w:usb3="00000000" w:csb0="0004000A" w:csb1="00000000"/>
  </w:font>
  <w:font w:name="Arial Unicode MS">
    <w:altName w:val="Arial"/>
    <w:panose1 w:val="020B0604020202020204"/>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auto"/>
    <w:pitch w:val="default"/>
    <w:sig w:usb0="00000000" w:usb1="00000000" w:usb2="00000000" w:usb3="00000000" w:csb0="00040000" w:csb1="00000000"/>
  </w:font>
  <w:font w:name="新宋体-18030">
    <w:altName w:val="宋体"/>
    <w:panose1 w:val="00000000000000000000"/>
    <w:charset w:val="86"/>
    <w:family w:val="auto"/>
    <w:pitch w:val="default"/>
    <w:sig w:usb0="00000000" w:usb1="00000000" w:usb2="000A005E"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F70C9">
    <w:pPr>
      <w:pStyle w:val="16"/>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10</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11</w:t>
    </w:r>
    <w:r>
      <w:rPr>
        <w:kern w:val="0"/>
        <w:szCs w:val="21"/>
      </w:rPr>
      <w:fldChar w:fldCharType="end"/>
    </w:r>
    <w:r>
      <w:rPr>
        <w:rFonts w:hint="eastAsia"/>
        <w:kern w:val="0"/>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616B3F">
    <w:pPr>
      <w:pStyle w:val="16"/>
      <w:framePr w:wrap="around" w:vAnchor="text" w:hAnchor="margin" w:xAlign="center" w:y="1"/>
      <w:rPr>
        <w:rStyle w:val="31"/>
      </w:rPr>
    </w:pPr>
    <w:r>
      <w:rPr>
        <w:rStyle w:val="31"/>
      </w:rPr>
      <w:fldChar w:fldCharType="begin"/>
    </w:r>
    <w:r>
      <w:rPr>
        <w:rStyle w:val="31"/>
      </w:rPr>
      <w:instrText xml:space="preserve">PAGE  </w:instrText>
    </w:r>
    <w:r>
      <w:rPr>
        <w:rStyle w:val="31"/>
      </w:rPr>
      <w:fldChar w:fldCharType="separate"/>
    </w:r>
    <w:r>
      <w:rPr>
        <w:rStyle w:val="31"/>
      </w:rPr>
      <w:t>0</w:t>
    </w:r>
    <w:r>
      <w:rPr>
        <w:rStyle w:val="31"/>
      </w:rPr>
      <w:fldChar w:fldCharType="end"/>
    </w:r>
  </w:p>
  <w:p w14:paraId="067065B7">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7A897">
    <w:pPr>
      <w:pStyle w:val="16"/>
      <w:jc w:val="center"/>
    </w:pPr>
    <w:r>
      <w:rPr>
        <w:rFonts w:hint="eastAsia"/>
      </w:rPr>
      <w:t>第</w:t>
    </w:r>
    <w:r>
      <w:rPr>
        <w:rStyle w:val="31"/>
      </w:rPr>
      <w:fldChar w:fldCharType="begin"/>
    </w:r>
    <w:r>
      <w:rPr>
        <w:rStyle w:val="31"/>
      </w:rPr>
      <w:instrText xml:space="preserve"> PAGE </w:instrText>
    </w:r>
    <w:r>
      <w:rPr>
        <w:rStyle w:val="31"/>
      </w:rPr>
      <w:fldChar w:fldCharType="separate"/>
    </w:r>
    <w:r>
      <w:rPr>
        <w:rStyle w:val="31"/>
      </w:rPr>
      <w:t>1</w:t>
    </w:r>
    <w:r>
      <w:rPr>
        <w:rStyle w:val="31"/>
      </w:rPr>
      <w:fldChar w:fldCharType="end"/>
    </w:r>
    <w:r>
      <w:rPr>
        <w:rStyle w:val="31"/>
        <w:rFonts w:hint="eastAsia"/>
      </w:rPr>
      <w:t>页  共</w:t>
    </w:r>
    <w:r>
      <w:rPr>
        <w:rStyle w:val="31"/>
      </w:rPr>
      <w:fldChar w:fldCharType="begin"/>
    </w:r>
    <w:r>
      <w:rPr>
        <w:rStyle w:val="31"/>
      </w:rPr>
      <w:instrText xml:space="preserve"> NUMPAGES </w:instrText>
    </w:r>
    <w:r>
      <w:rPr>
        <w:rStyle w:val="31"/>
      </w:rPr>
      <w:fldChar w:fldCharType="separate"/>
    </w:r>
    <w:r>
      <w:rPr>
        <w:rStyle w:val="31"/>
      </w:rPr>
      <w:t>4</w:t>
    </w:r>
    <w:r>
      <w:rPr>
        <w:rStyle w:val="31"/>
      </w:rPr>
      <w:fldChar w:fldCharType="end"/>
    </w:r>
    <w:r>
      <w:rPr>
        <w:rStyle w:val="31"/>
        <w:rFonts w:hint="eastAsia"/>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E8672">
    <w:pPr>
      <w:pStyle w:val="17"/>
    </w:pPr>
    <w:r>
      <w:rPr>
        <w:rFonts w:hint="eastAsia"/>
      </w:rPr>
      <w:t xml:space="preserve">                                                              </w:t>
    </w:r>
    <w:r>
      <w:rPr>
        <w:rFonts w:hint="eastAsia"/>
        <w:lang w:val="en-US" w:eastAsia="zh-CN"/>
      </w:rPr>
      <w:t>无线网络改造项目</w:t>
    </w:r>
    <w:r>
      <w:rPr>
        <w:rFonts w:hint="eastAsia"/>
      </w:rPr>
      <w:t>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36DB98">
    <w:pPr>
      <w:pStyle w:val="17"/>
    </w:pPr>
  </w:p>
  <w:p w14:paraId="679B2142">
    <w:pPr>
      <w:spacing w:after="156" w:afterLines="50" w:line="360" w:lineRule="auto"/>
      <w:jc w:val="cente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1F65A9"/>
    <w:multiLevelType w:val="singleLevel"/>
    <w:tmpl w:val="121F65A9"/>
    <w:lvl w:ilvl="0" w:tentative="0">
      <w:start w:val="1"/>
      <w:numFmt w:val="decimal"/>
      <w:suff w:val="nothing"/>
      <w:lvlText w:val="（%1）"/>
      <w:lvlJc w:val="left"/>
    </w:lvl>
  </w:abstractNum>
  <w:abstractNum w:abstractNumId="1">
    <w:nsid w:val="1A0A1A76"/>
    <w:multiLevelType w:val="multilevel"/>
    <w:tmpl w:val="1A0A1A76"/>
    <w:lvl w:ilvl="0" w:tentative="0">
      <w:start w:val="22"/>
      <w:numFmt w:val="decimal"/>
      <w:lvlText w:val="%1."/>
      <w:lvlJc w:val="left"/>
      <w:pPr>
        <w:tabs>
          <w:tab w:val="left" w:pos="425"/>
        </w:tabs>
        <w:ind w:left="425" w:hanging="425"/>
      </w:pPr>
      <w:rPr>
        <w:rFonts w:hint="eastAsia" w:ascii="宋体" w:eastAsia="宋体"/>
        <w:b/>
        <w:i w:val="0"/>
        <w:sz w:val="30"/>
      </w:rPr>
    </w:lvl>
    <w:lvl w:ilvl="1" w:tentative="0">
      <w:start w:val="1"/>
      <w:numFmt w:val="decimal"/>
      <w:pStyle w:val="3"/>
      <w:lvlText w:val="%1.%2"/>
      <w:lvlJc w:val="left"/>
      <w:pPr>
        <w:tabs>
          <w:tab w:val="left" w:pos="947"/>
        </w:tabs>
        <w:ind w:left="0" w:firstLine="227"/>
      </w:pPr>
      <w:rPr>
        <w:rFonts w:hint="eastAsia" w:ascii="黑体" w:eastAsia="黑体"/>
        <w:b/>
        <w:i w:val="0"/>
        <w:spacing w:val="-8"/>
        <w:sz w:val="30"/>
      </w:rPr>
    </w:lvl>
    <w:lvl w:ilvl="2" w:tentative="0">
      <w:start w:val="1"/>
      <w:numFmt w:val="decimal"/>
      <w:pStyle w:val="4"/>
      <w:lvlText w:val="%1.%2.%3"/>
      <w:lvlJc w:val="left"/>
      <w:pPr>
        <w:tabs>
          <w:tab w:val="left" w:pos="1307"/>
        </w:tabs>
        <w:ind w:left="0" w:firstLine="227"/>
      </w:pPr>
      <w:rPr>
        <w:rFonts w:hint="eastAsia"/>
      </w:rPr>
    </w:lvl>
    <w:lvl w:ilvl="3" w:tentative="0">
      <w:start w:val="1"/>
      <w:numFmt w:val="decimal"/>
      <w:pStyle w:val="6"/>
      <w:lvlText w:val="%1.%2.%3.%4"/>
      <w:lvlJc w:val="left"/>
      <w:pPr>
        <w:tabs>
          <w:tab w:val="left" w:pos="1250"/>
        </w:tabs>
        <w:ind w:left="57" w:firstLine="113"/>
      </w:pPr>
      <w:rPr>
        <w:rFonts w:hint="eastAsia" w:ascii="黑体" w:eastAsia="黑体"/>
        <w:b/>
        <w:i w:val="0"/>
        <w:caps w:val="0"/>
        <w:strike w:val="0"/>
        <w:dstrike w:val="0"/>
        <w:color w:val="000000"/>
        <w:spacing w:val="-20"/>
        <w:sz w:val="28"/>
        <w14:shadow w14:blurRad="0" w14:dist="0" w14:dir="0" w14:sx="0" w14:sy="0" w14:kx="0" w14:ky="0" w14:algn="none">
          <w14:srgbClr w14:val="000000"/>
        </w14:shadow>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5DB813A5"/>
    <w:multiLevelType w:val="singleLevel"/>
    <w:tmpl w:val="5DB813A5"/>
    <w:lvl w:ilvl="0" w:tentative="0">
      <w:start w:val="1"/>
      <w:numFmt w:val="upperLetter"/>
      <w:pStyle w:val="2"/>
      <w:lvlText w:val="%1."/>
      <w:lvlJc w:val="left"/>
      <w:pPr>
        <w:tabs>
          <w:tab w:val="left" w:pos="600"/>
        </w:tabs>
        <w:ind w:left="600" w:hanging="30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2E2"/>
    <w:rsid w:val="000004BA"/>
    <w:rsid w:val="00000998"/>
    <w:rsid w:val="00000BEC"/>
    <w:rsid w:val="000068E0"/>
    <w:rsid w:val="0000739B"/>
    <w:rsid w:val="00010172"/>
    <w:rsid w:val="00011840"/>
    <w:rsid w:val="00012157"/>
    <w:rsid w:val="000127E4"/>
    <w:rsid w:val="00013555"/>
    <w:rsid w:val="00014A48"/>
    <w:rsid w:val="00014DAF"/>
    <w:rsid w:val="00014E63"/>
    <w:rsid w:val="00016041"/>
    <w:rsid w:val="0001631C"/>
    <w:rsid w:val="000205A9"/>
    <w:rsid w:val="00020D47"/>
    <w:rsid w:val="00020F59"/>
    <w:rsid w:val="000236FE"/>
    <w:rsid w:val="00030856"/>
    <w:rsid w:val="00030E1D"/>
    <w:rsid w:val="00030EC9"/>
    <w:rsid w:val="00031A9D"/>
    <w:rsid w:val="00037A26"/>
    <w:rsid w:val="00040492"/>
    <w:rsid w:val="00041AA9"/>
    <w:rsid w:val="00042E23"/>
    <w:rsid w:val="00042F94"/>
    <w:rsid w:val="000434C7"/>
    <w:rsid w:val="0004352A"/>
    <w:rsid w:val="0004401D"/>
    <w:rsid w:val="00044395"/>
    <w:rsid w:val="00047002"/>
    <w:rsid w:val="000505F9"/>
    <w:rsid w:val="000524B9"/>
    <w:rsid w:val="000528F9"/>
    <w:rsid w:val="000529F7"/>
    <w:rsid w:val="00052A29"/>
    <w:rsid w:val="00052EED"/>
    <w:rsid w:val="00053544"/>
    <w:rsid w:val="000543CA"/>
    <w:rsid w:val="00054910"/>
    <w:rsid w:val="00055CA8"/>
    <w:rsid w:val="00056E98"/>
    <w:rsid w:val="0005718B"/>
    <w:rsid w:val="00060250"/>
    <w:rsid w:val="0006233B"/>
    <w:rsid w:val="00063232"/>
    <w:rsid w:val="00063531"/>
    <w:rsid w:val="000647CB"/>
    <w:rsid w:val="00064D66"/>
    <w:rsid w:val="00065EB8"/>
    <w:rsid w:val="00065FC5"/>
    <w:rsid w:val="00066284"/>
    <w:rsid w:val="00066DED"/>
    <w:rsid w:val="0007055E"/>
    <w:rsid w:val="00070E44"/>
    <w:rsid w:val="00073525"/>
    <w:rsid w:val="00073A9C"/>
    <w:rsid w:val="00076B2B"/>
    <w:rsid w:val="000811C3"/>
    <w:rsid w:val="0008167A"/>
    <w:rsid w:val="00082AB4"/>
    <w:rsid w:val="00082FCD"/>
    <w:rsid w:val="000830B4"/>
    <w:rsid w:val="00084D35"/>
    <w:rsid w:val="00086772"/>
    <w:rsid w:val="00087200"/>
    <w:rsid w:val="000874D3"/>
    <w:rsid w:val="00087970"/>
    <w:rsid w:val="00087BCC"/>
    <w:rsid w:val="00087C81"/>
    <w:rsid w:val="00090728"/>
    <w:rsid w:val="00092C77"/>
    <w:rsid w:val="00093662"/>
    <w:rsid w:val="00097154"/>
    <w:rsid w:val="000A1347"/>
    <w:rsid w:val="000A14C8"/>
    <w:rsid w:val="000A15A0"/>
    <w:rsid w:val="000A27D5"/>
    <w:rsid w:val="000A3F8E"/>
    <w:rsid w:val="000A5010"/>
    <w:rsid w:val="000A76E8"/>
    <w:rsid w:val="000B0067"/>
    <w:rsid w:val="000B0186"/>
    <w:rsid w:val="000B16FC"/>
    <w:rsid w:val="000B2AAD"/>
    <w:rsid w:val="000B2D6C"/>
    <w:rsid w:val="000B3057"/>
    <w:rsid w:val="000B3449"/>
    <w:rsid w:val="000B443A"/>
    <w:rsid w:val="000B46DB"/>
    <w:rsid w:val="000B5B9E"/>
    <w:rsid w:val="000B6AC8"/>
    <w:rsid w:val="000B6B41"/>
    <w:rsid w:val="000B77A3"/>
    <w:rsid w:val="000C0925"/>
    <w:rsid w:val="000C0D03"/>
    <w:rsid w:val="000C1915"/>
    <w:rsid w:val="000C2CA0"/>
    <w:rsid w:val="000C371E"/>
    <w:rsid w:val="000C5080"/>
    <w:rsid w:val="000C59E2"/>
    <w:rsid w:val="000C6294"/>
    <w:rsid w:val="000C7C77"/>
    <w:rsid w:val="000D0977"/>
    <w:rsid w:val="000D0B00"/>
    <w:rsid w:val="000D2FDD"/>
    <w:rsid w:val="000D3A24"/>
    <w:rsid w:val="000D4809"/>
    <w:rsid w:val="000D5F2D"/>
    <w:rsid w:val="000D64D8"/>
    <w:rsid w:val="000E005C"/>
    <w:rsid w:val="000E0501"/>
    <w:rsid w:val="000E08C5"/>
    <w:rsid w:val="000E1588"/>
    <w:rsid w:val="000E1F3C"/>
    <w:rsid w:val="000E2258"/>
    <w:rsid w:val="000E3C66"/>
    <w:rsid w:val="000E5552"/>
    <w:rsid w:val="000E613A"/>
    <w:rsid w:val="000E7FA8"/>
    <w:rsid w:val="000F0911"/>
    <w:rsid w:val="000F0B3B"/>
    <w:rsid w:val="000F2017"/>
    <w:rsid w:val="000F38F5"/>
    <w:rsid w:val="000F39B7"/>
    <w:rsid w:val="000F41B5"/>
    <w:rsid w:val="000F420E"/>
    <w:rsid w:val="000F48F8"/>
    <w:rsid w:val="000F4CBD"/>
    <w:rsid w:val="000F4F12"/>
    <w:rsid w:val="000F5AAD"/>
    <w:rsid w:val="000F5C1A"/>
    <w:rsid w:val="000F697B"/>
    <w:rsid w:val="000F6ACD"/>
    <w:rsid w:val="000F6B29"/>
    <w:rsid w:val="000F6CAA"/>
    <w:rsid w:val="000F6D63"/>
    <w:rsid w:val="00101746"/>
    <w:rsid w:val="0010367C"/>
    <w:rsid w:val="00103F07"/>
    <w:rsid w:val="001047DC"/>
    <w:rsid w:val="00105821"/>
    <w:rsid w:val="001059BE"/>
    <w:rsid w:val="00106854"/>
    <w:rsid w:val="00106883"/>
    <w:rsid w:val="00107EF2"/>
    <w:rsid w:val="001124A3"/>
    <w:rsid w:val="00112711"/>
    <w:rsid w:val="00112E59"/>
    <w:rsid w:val="00112F5D"/>
    <w:rsid w:val="0011358A"/>
    <w:rsid w:val="00114AB7"/>
    <w:rsid w:val="00114D61"/>
    <w:rsid w:val="001156C9"/>
    <w:rsid w:val="00115955"/>
    <w:rsid w:val="00116432"/>
    <w:rsid w:val="001173F7"/>
    <w:rsid w:val="00117C1C"/>
    <w:rsid w:val="00120179"/>
    <w:rsid w:val="00120633"/>
    <w:rsid w:val="001218DC"/>
    <w:rsid w:val="00122A14"/>
    <w:rsid w:val="00123A39"/>
    <w:rsid w:val="001255E4"/>
    <w:rsid w:val="00125A46"/>
    <w:rsid w:val="0013023A"/>
    <w:rsid w:val="001315D0"/>
    <w:rsid w:val="00132CAE"/>
    <w:rsid w:val="001350D9"/>
    <w:rsid w:val="00136400"/>
    <w:rsid w:val="00140705"/>
    <w:rsid w:val="0014119B"/>
    <w:rsid w:val="0014151D"/>
    <w:rsid w:val="00146295"/>
    <w:rsid w:val="00147295"/>
    <w:rsid w:val="001473D7"/>
    <w:rsid w:val="0015075B"/>
    <w:rsid w:val="00150EA6"/>
    <w:rsid w:val="0015106D"/>
    <w:rsid w:val="00151FB8"/>
    <w:rsid w:val="00153598"/>
    <w:rsid w:val="001539AF"/>
    <w:rsid w:val="00155E23"/>
    <w:rsid w:val="00156911"/>
    <w:rsid w:val="00156E1D"/>
    <w:rsid w:val="001571D3"/>
    <w:rsid w:val="00161672"/>
    <w:rsid w:val="00162185"/>
    <w:rsid w:val="001626BF"/>
    <w:rsid w:val="00162CD4"/>
    <w:rsid w:val="0016313F"/>
    <w:rsid w:val="00163649"/>
    <w:rsid w:val="001641A6"/>
    <w:rsid w:val="001642E2"/>
    <w:rsid w:val="0016534D"/>
    <w:rsid w:val="00165923"/>
    <w:rsid w:val="001701F5"/>
    <w:rsid w:val="00172CF0"/>
    <w:rsid w:val="00173145"/>
    <w:rsid w:val="001745CA"/>
    <w:rsid w:val="00180C95"/>
    <w:rsid w:val="001814F1"/>
    <w:rsid w:val="001823A8"/>
    <w:rsid w:val="001837CB"/>
    <w:rsid w:val="0018433F"/>
    <w:rsid w:val="0018517E"/>
    <w:rsid w:val="001854D9"/>
    <w:rsid w:val="00187BED"/>
    <w:rsid w:val="00187CE5"/>
    <w:rsid w:val="001911CF"/>
    <w:rsid w:val="00192FEF"/>
    <w:rsid w:val="00193317"/>
    <w:rsid w:val="00194813"/>
    <w:rsid w:val="00194B3E"/>
    <w:rsid w:val="001951A4"/>
    <w:rsid w:val="00196CD0"/>
    <w:rsid w:val="001970E2"/>
    <w:rsid w:val="001A12F8"/>
    <w:rsid w:val="001A1335"/>
    <w:rsid w:val="001A175C"/>
    <w:rsid w:val="001A31AD"/>
    <w:rsid w:val="001A3B51"/>
    <w:rsid w:val="001A3D84"/>
    <w:rsid w:val="001A3FB2"/>
    <w:rsid w:val="001A5427"/>
    <w:rsid w:val="001A575D"/>
    <w:rsid w:val="001A5F7A"/>
    <w:rsid w:val="001A6317"/>
    <w:rsid w:val="001A66FF"/>
    <w:rsid w:val="001A6E8F"/>
    <w:rsid w:val="001B25FF"/>
    <w:rsid w:val="001B262C"/>
    <w:rsid w:val="001B30C6"/>
    <w:rsid w:val="001B4379"/>
    <w:rsid w:val="001B4657"/>
    <w:rsid w:val="001B5780"/>
    <w:rsid w:val="001C02DC"/>
    <w:rsid w:val="001C06B6"/>
    <w:rsid w:val="001C1112"/>
    <w:rsid w:val="001C113F"/>
    <w:rsid w:val="001C1BBA"/>
    <w:rsid w:val="001C3441"/>
    <w:rsid w:val="001C3FB0"/>
    <w:rsid w:val="001C4296"/>
    <w:rsid w:val="001C4EA2"/>
    <w:rsid w:val="001C5BD8"/>
    <w:rsid w:val="001C61EF"/>
    <w:rsid w:val="001C6DAF"/>
    <w:rsid w:val="001C74E9"/>
    <w:rsid w:val="001D1211"/>
    <w:rsid w:val="001D1547"/>
    <w:rsid w:val="001D2D37"/>
    <w:rsid w:val="001D2E0C"/>
    <w:rsid w:val="001D37D2"/>
    <w:rsid w:val="001D4999"/>
    <w:rsid w:val="001D52CB"/>
    <w:rsid w:val="001D60B3"/>
    <w:rsid w:val="001D6F07"/>
    <w:rsid w:val="001D72F2"/>
    <w:rsid w:val="001D7628"/>
    <w:rsid w:val="001D76A8"/>
    <w:rsid w:val="001E0C14"/>
    <w:rsid w:val="001E44CC"/>
    <w:rsid w:val="001E610D"/>
    <w:rsid w:val="001F1084"/>
    <w:rsid w:val="001F4089"/>
    <w:rsid w:val="001F4770"/>
    <w:rsid w:val="001F5647"/>
    <w:rsid w:val="001F73F1"/>
    <w:rsid w:val="001F7F7A"/>
    <w:rsid w:val="00201480"/>
    <w:rsid w:val="00203D1D"/>
    <w:rsid w:val="002061C7"/>
    <w:rsid w:val="00206AC8"/>
    <w:rsid w:val="00206EF8"/>
    <w:rsid w:val="00210A18"/>
    <w:rsid w:val="002130F5"/>
    <w:rsid w:val="00213246"/>
    <w:rsid w:val="00213329"/>
    <w:rsid w:val="00213C2C"/>
    <w:rsid w:val="002144ED"/>
    <w:rsid w:val="0021522A"/>
    <w:rsid w:val="00215990"/>
    <w:rsid w:val="00216654"/>
    <w:rsid w:val="00216A7F"/>
    <w:rsid w:val="0022151A"/>
    <w:rsid w:val="0022236E"/>
    <w:rsid w:val="00224ABB"/>
    <w:rsid w:val="00224F63"/>
    <w:rsid w:val="00225EBE"/>
    <w:rsid w:val="00227445"/>
    <w:rsid w:val="00227EF1"/>
    <w:rsid w:val="002322E1"/>
    <w:rsid w:val="002332F0"/>
    <w:rsid w:val="002333CD"/>
    <w:rsid w:val="00236C05"/>
    <w:rsid w:val="00236D12"/>
    <w:rsid w:val="00236FAD"/>
    <w:rsid w:val="00240ADC"/>
    <w:rsid w:val="00241CA3"/>
    <w:rsid w:val="00242BFF"/>
    <w:rsid w:val="002431B3"/>
    <w:rsid w:val="00244B25"/>
    <w:rsid w:val="00245799"/>
    <w:rsid w:val="002458D8"/>
    <w:rsid w:val="00246192"/>
    <w:rsid w:val="0025002C"/>
    <w:rsid w:val="00251060"/>
    <w:rsid w:val="0025128B"/>
    <w:rsid w:val="00251440"/>
    <w:rsid w:val="002517B9"/>
    <w:rsid w:val="002529F1"/>
    <w:rsid w:val="0025341B"/>
    <w:rsid w:val="002541A9"/>
    <w:rsid w:val="002548E8"/>
    <w:rsid w:val="00254B85"/>
    <w:rsid w:val="00255C25"/>
    <w:rsid w:val="0025692D"/>
    <w:rsid w:val="002577EC"/>
    <w:rsid w:val="00261153"/>
    <w:rsid w:val="002625C7"/>
    <w:rsid w:val="00263BA5"/>
    <w:rsid w:val="00263FE3"/>
    <w:rsid w:val="002646D8"/>
    <w:rsid w:val="00264C50"/>
    <w:rsid w:val="0026588C"/>
    <w:rsid w:val="00270799"/>
    <w:rsid w:val="00271263"/>
    <w:rsid w:val="002743A7"/>
    <w:rsid w:val="0027466E"/>
    <w:rsid w:val="00275FE2"/>
    <w:rsid w:val="00277142"/>
    <w:rsid w:val="00277FB2"/>
    <w:rsid w:val="00283129"/>
    <w:rsid w:val="002841AC"/>
    <w:rsid w:val="002847A1"/>
    <w:rsid w:val="00284CDF"/>
    <w:rsid w:val="002855B8"/>
    <w:rsid w:val="0028614E"/>
    <w:rsid w:val="0028747F"/>
    <w:rsid w:val="002914AB"/>
    <w:rsid w:val="00291A65"/>
    <w:rsid w:val="00291A71"/>
    <w:rsid w:val="00292A19"/>
    <w:rsid w:val="00293C8F"/>
    <w:rsid w:val="002949FB"/>
    <w:rsid w:val="00294C8A"/>
    <w:rsid w:val="002962D7"/>
    <w:rsid w:val="002967F0"/>
    <w:rsid w:val="002A0058"/>
    <w:rsid w:val="002A00B4"/>
    <w:rsid w:val="002A0F1C"/>
    <w:rsid w:val="002A1095"/>
    <w:rsid w:val="002A16AF"/>
    <w:rsid w:val="002A2605"/>
    <w:rsid w:val="002A2BB0"/>
    <w:rsid w:val="002A3239"/>
    <w:rsid w:val="002A485F"/>
    <w:rsid w:val="002A5705"/>
    <w:rsid w:val="002A5C57"/>
    <w:rsid w:val="002A64EB"/>
    <w:rsid w:val="002B1031"/>
    <w:rsid w:val="002B21F0"/>
    <w:rsid w:val="002B335C"/>
    <w:rsid w:val="002B3702"/>
    <w:rsid w:val="002B44D1"/>
    <w:rsid w:val="002B4B58"/>
    <w:rsid w:val="002B5FC9"/>
    <w:rsid w:val="002B6C67"/>
    <w:rsid w:val="002B6DBC"/>
    <w:rsid w:val="002B77D9"/>
    <w:rsid w:val="002C0547"/>
    <w:rsid w:val="002C0755"/>
    <w:rsid w:val="002C2B0A"/>
    <w:rsid w:val="002C4180"/>
    <w:rsid w:val="002C4551"/>
    <w:rsid w:val="002C5B48"/>
    <w:rsid w:val="002C6E52"/>
    <w:rsid w:val="002C731C"/>
    <w:rsid w:val="002D2EE4"/>
    <w:rsid w:val="002D30C0"/>
    <w:rsid w:val="002D54B4"/>
    <w:rsid w:val="002D5D4A"/>
    <w:rsid w:val="002E1D60"/>
    <w:rsid w:val="002E1FD9"/>
    <w:rsid w:val="002E2719"/>
    <w:rsid w:val="002E39C5"/>
    <w:rsid w:val="002E3B4B"/>
    <w:rsid w:val="002E62EA"/>
    <w:rsid w:val="002E6C42"/>
    <w:rsid w:val="002E6C7E"/>
    <w:rsid w:val="002E6CF6"/>
    <w:rsid w:val="002E7FD9"/>
    <w:rsid w:val="002F0291"/>
    <w:rsid w:val="002F198C"/>
    <w:rsid w:val="002F406D"/>
    <w:rsid w:val="002F4591"/>
    <w:rsid w:val="002F5C24"/>
    <w:rsid w:val="002F6AFB"/>
    <w:rsid w:val="00300594"/>
    <w:rsid w:val="00300BC1"/>
    <w:rsid w:val="00300E30"/>
    <w:rsid w:val="00300E46"/>
    <w:rsid w:val="00302867"/>
    <w:rsid w:val="003048B3"/>
    <w:rsid w:val="00307401"/>
    <w:rsid w:val="0031244B"/>
    <w:rsid w:val="00313F8F"/>
    <w:rsid w:val="0031645A"/>
    <w:rsid w:val="00316564"/>
    <w:rsid w:val="00316754"/>
    <w:rsid w:val="003201CE"/>
    <w:rsid w:val="00320920"/>
    <w:rsid w:val="0032240E"/>
    <w:rsid w:val="0032277C"/>
    <w:rsid w:val="00323571"/>
    <w:rsid w:val="003236BD"/>
    <w:rsid w:val="0032697E"/>
    <w:rsid w:val="00330E47"/>
    <w:rsid w:val="00331A7A"/>
    <w:rsid w:val="00332507"/>
    <w:rsid w:val="003331D6"/>
    <w:rsid w:val="003361F1"/>
    <w:rsid w:val="0033771E"/>
    <w:rsid w:val="00340021"/>
    <w:rsid w:val="00340115"/>
    <w:rsid w:val="00341F82"/>
    <w:rsid w:val="0034210A"/>
    <w:rsid w:val="0034257F"/>
    <w:rsid w:val="00342BA2"/>
    <w:rsid w:val="00342FC6"/>
    <w:rsid w:val="003433FB"/>
    <w:rsid w:val="00343812"/>
    <w:rsid w:val="00343B86"/>
    <w:rsid w:val="00347C3F"/>
    <w:rsid w:val="00347FAE"/>
    <w:rsid w:val="00350939"/>
    <w:rsid w:val="00351D3B"/>
    <w:rsid w:val="00352237"/>
    <w:rsid w:val="00352C62"/>
    <w:rsid w:val="003539BB"/>
    <w:rsid w:val="00353E15"/>
    <w:rsid w:val="00353F88"/>
    <w:rsid w:val="00355F47"/>
    <w:rsid w:val="003565D7"/>
    <w:rsid w:val="00360D5F"/>
    <w:rsid w:val="00362065"/>
    <w:rsid w:val="00364B74"/>
    <w:rsid w:val="00365A88"/>
    <w:rsid w:val="003661C4"/>
    <w:rsid w:val="00370996"/>
    <w:rsid w:val="00371150"/>
    <w:rsid w:val="0037184F"/>
    <w:rsid w:val="0037425D"/>
    <w:rsid w:val="0037465D"/>
    <w:rsid w:val="0037570A"/>
    <w:rsid w:val="00375D7D"/>
    <w:rsid w:val="0037683D"/>
    <w:rsid w:val="0037723E"/>
    <w:rsid w:val="00377594"/>
    <w:rsid w:val="00380A1F"/>
    <w:rsid w:val="00380F78"/>
    <w:rsid w:val="00381338"/>
    <w:rsid w:val="0038260C"/>
    <w:rsid w:val="00384AFD"/>
    <w:rsid w:val="00384CC5"/>
    <w:rsid w:val="003856CB"/>
    <w:rsid w:val="00385819"/>
    <w:rsid w:val="00386391"/>
    <w:rsid w:val="00386618"/>
    <w:rsid w:val="00387511"/>
    <w:rsid w:val="0039005E"/>
    <w:rsid w:val="003910C1"/>
    <w:rsid w:val="0039128F"/>
    <w:rsid w:val="003924FE"/>
    <w:rsid w:val="00392B33"/>
    <w:rsid w:val="00392D62"/>
    <w:rsid w:val="003958D0"/>
    <w:rsid w:val="00397632"/>
    <w:rsid w:val="00397F48"/>
    <w:rsid w:val="003A0752"/>
    <w:rsid w:val="003A1824"/>
    <w:rsid w:val="003A1F36"/>
    <w:rsid w:val="003A5118"/>
    <w:rsid w:val="003A6639"/>
    <w:rsid w:val="003A7218"/>
    <w:rsid w:val="003B0C41"/>
    <w:rsid w:val="003B2179"/>
    <w:rsid w:val="003B249E"/>
    <w:rsid w:val="003B3D67"/>
    <w:rsid w:val="003B4487"/>
    <w:rsid w:val="003B474B"/>
    <w:rsid w:val="003B6377"/>
    <w:rsid w:val="003B6518"/>
    <w:rsid w:val="003C0B82"/>
    <w:rsid w:val="003C3144"/>
    <w:rsid w:val="003C34B6"/>
    <w:rsid w:val="003C3F3F"/>
    <w:rsid w:val="003C655A"/>
    <w:rsid w:val="003C7463"/>
    <w:rsid w:val="003C749A"/>
    <w:rsid w:val="003C7739"/>
    <w:rsid w:val="003C7FCF"/>
    <w:rsid w:val="003D1382"/>
    <w:rsid w:val="003D205F"/>
    <w:rsid w:val="003D2CA7"/>
    <w:rsid w:val="003D3D56"/>
    <w:rsid w:val="003D3D6A"/>
    <w:rsid w:val="003D4581"/>
    <w:rsid w:val="003D48A0"/>
    <w:rsid w:val="003D5639"/>
    <w:rsid w:val="003D6A54"/>
    <w:rsid w:val="003D7A38"/>
    <w:rsid w:val="003E034A"/>
    <w:rsid w:val="003E0898"/>
    <w:rsid w:val="003E1165"/>
    <w:rsid w:val="003E1405"/>
    <w:rsid w:val="003E1EEB"/>
    <w:rsid w:val="003E275A"/>
    <w:rsid w:val="003E392B"/>
    <w:rsid w:val="003E6A62"/>
    <w:rsid w:val="003F06DF"/>
    <w:rsid w:val="003F11CC"/>
    <w:rsid w:val="003F195D"/>
    <w:rsid w:val="003F32B8"/>
    <w:rsid w:val="003F3F80"/>
    <w:rsid w:val="003F40FD"/>
    <w:rsid w:val="003F4B3C"/>
    <w:rsid w:val="003F511A"/>
    <w:rsid w:val="003F57B1"/>
    <w:rsid w:val="003F65FC"/>
    <w:rsid w:val="003F7376"/>
    <w:rsid w:val="003F791A"/>
    <w:rsid w:val="00401581"/>
    <w:rsid w:val="00401E15"/>
    <w:rsid w:val="00401EA3"/>
    <w:rsid w:val="00402337"/>
    <w:rsid w:val="00405AD2"/>
    <w:rsid w:val="00406414"/>
    <w:rsid w:val="00410DD2"/>
    <w:rsid w:val="004116E0"/>
    <w:rsid w:val="00411F45"/>
    <w:rsid w:val="00413227"/>
    <w:rsid w:val="00413438"/>
    <w:rsid w:val="0041426F"/>
    <w:rsid w:val="004166F5"/>
    <w:rsid w:val="00416949"/>
    <w:rsid w:val="00421DCB"/>
    <w:rsid w:val="0042319A"/>
    <w:rsid w:val="004232ED"/>
    <w:rsid w:val="00424831"/>
    <w:rsid w:val="00425BD6"/>
    <w:rsid w:val="00425F28"/>
    <w:rsid w:val="00427591"/>
    <w:rsid w:val="00427E2A"/>
    <w:rsid w:val="00430FD1"/>
    <w:rsid w:val="00432EB2"/>
    <w:rsid w:val="00433267"/>
    <w:rsid w:val="00434596"/>
    <w:rsid w:val="0044066F"/>
    <w:rsid w:val="004428E9"/>
    <w:rsid w:val="004450F0"/>
    <w:rsid w:val="0044589C"/>
    <w:rsid w:val="00446030"/>
    <w:rsid w:val="0044676A"/>
    <w:rsid w:val="004476EB"/>
    <w:rsid w:val="00450AA4"/>
    <w:rsid w:val="00450EBA"/>
    <w:rsid w:val="00451191"/>
    <w:rsid w:val="0045123A"/>
    <w:rsid w:val="004518BA"/>
    <w:rsid w:val="00456716"/>
    <w:rsid w:val="004569D1"/>
    <w:rsid w:val="00461AFB"/>
    <w:rsid w:val="00461DB9"/>
    <w:rsid w:val="00463172"/>
    <w:rsid w:val="00463567"/>
    <w:rsid w:val="00463C38"/>
    <w:rsid w:val="004640C2"/>
    <w:rsid w:val="00465FFE"/>
    <w:rsid w:val="00470459"/>
    <w:rsid w:val="00471FC0"/>
    <w:rsid w:val="004721BF"/>
    <w:rsid w:val="00472845"/>
    <w:rsid w:val="00472C23"/>
    <w:rsid w:val="004760A8"/>
    <w:rsid w:val="00480CA0"/>
    <w:rsid w:val="004834EB"/>
    <w:rsid w:val="0048384C"/>
    <w:rsid w:val="004841CC"/>
    <w:rsid w:val="0048475E"/>
    <w:rsid w:val="00484A5F"/>
    <w:rsid w:val="00486314"/>
    <w:rsid w:val="00486729"/>
    <w:rsid w:val="0049001C"/>
    <w:rsid w:val="004902BC"/>
    <w:rsid w:val="00490F79"/>
    <w:rsid w:val="00491A16"/>
    <w:rsid w:val="00491BB0"/>
    <w:rsid w:val="004942D6"/>
    <w:rsid w:val="00494516"/>
    <w:rsid w:val="00495739"/>
    <w:rsid w:val="00495831"/>
    <w:rsid w:val="00496118"/>
    <w:rsid w:val="004965B4"/>
    <w:rsid w:val="00496FF6"/>
    <w:rsid w:val="0049744D"/>
    <w:rsid w:val="004974AF"/>
    <w:rsid w:val="004975C1"/>
    <w:rsid w:val="004A20D8"/>
    <w:rsid w:val="004A41A9"/>
    <w:rsid w:val="004A426C"/>
    <w:rsid w:val="004A4A75"/>
    <w:rsid w:val="004A4C17"/>
    <w:rsid w:val="004A6CCD"/>
    <w:rsid w:val="004A7293"/>
    <w:rsid w:val="004B089C"/>
    <w:rsid w:val="004B1C7B"/>
    <w:rsid w:val="004B1E1B"/>
    <w:rsid w:val="004B2A13"/>
    <w:rsid w:val="004B426D"/>
    <w:rsid w:val="004B5D40"/>
    <w:rsid w:val="004B60F6"/>
    <w:rsid w:val="004B7D08"/>
    <w:rsid w:val="004C022D"/>
    <w:rsid w:val="004C035A"/>
    <w:rsid w:val="004C0522"/>
    <w:rsid w:val="004C0599"/>
    <w:rsid w:val="004C05A1"/>
    <w:rsid w:val="004C0BC3"/>
    <w:rsid w:val="004C1462"/>
    <w:rsid w:val="004C22D4"/>
    <w:rsid w:val="004C244C"/>
    <w:rsid w:val="004C3348"/>
    <w:rsid w:val="004C40F2"/>
    <w:rsid w:val="004C44D3"/>
    <w:rsid w:val="004D1CB2"/>
    <w:rsid w:val="004D24BB"/>
    <w:rsid w:val="004D2CB6"/>
    <w:rsid w:val="004D3152"/>
    <w:rsid w:val="004D3D36"/>
    <w:rsid w:val="004D4078"/>
    <w:rsid w:val="004D42E6"/>
    <w:rsid w:val="004D555C"/>
    <w:rsid w:val="004D572D"/>
    <w:rsid w:val="004D585D"/>
    <w:rsid w:val="004D7B13"/>
    <w:rsid w:val="004E2256"/>
    <w:rsid w:val="004E22E2"/>
    <w:rsid w:val="004E3188"/>
    <w:rsid w:val="004E31AE"/>
    <w:rsid w:val="004E3FE9"/>
    <w:rsid w:val="004E4D49"/>
    <w:rsid w:val="004E5C1F"/>
    <w:rsid w:val="004E73BE"/>
    <w:rsid w:val="004F138E"/>
    <w:rsid w:val="004F1869"/>
    <w:rsid w:val="004F22F7"/>
    <w:rsid w:val="004F26FF"/>
    <w:rsid w:val="004F4C67"/>
    <w:rsid w:val="004F53DA"/>
    <w:rsid w:val="004F59EF"/>
    <w:rsid w:val="004F5EE6"/>
    <w:rsid w:val="0050184D"/>
    <w:rsid w:val="00502486"/>
    <w:rsid w:val="00502C66"/>
    <w:rsid w:val="00503002"/>
    <w:rsid w:val="005038EE"/>
    <w:rsid w:val="005041E4"/>
    <w:rsid w:val="005048F0"/>
    <w:rsid w:val="00505026"/>
    <w:rsid w:val="0050732E"/>
    <w:rsid w:val="00511266"/>
    <w:rsid w:val="005116DE"/>
    <w:rsid w:val="00511FD8"/>
    <w:rsid w:val="0051250C"/>
    <w:rsid w:val="00514183"/>
    <w:rsid w:val="00521FC3"/>
    <w:rsid w:val="00522757"/>
    <w:rsid w:val="00523044"/>
    <w:rsid w:val="00523FFD"/>
    <w:rsid w:val="00524037"/>
    <w:rsid w:val="0052439C"/>
    <w:rsid w:val="00526B29"/>
    <w:rsid w:val="005277F1"/>
    <w:rsid w:val="00527B17"/>
    <w:rsid w:val="005304C6"/>
    <w:rsid w:val="005306DE"/>
    <w:rsid w:val="005309CE"/>
    <w:rsid w:val="00530AA5"/>
    <w:rsid w:val="0053100E"/>
    <w:rsid w:val="00533720"/>
    <w:rsid w:val="0053479A"/>
    <w:rsid w:val="005369BF"/>
    <w:rsid w:val="00537195"/>
    <w:rsid w:val="00540AF8"/>
    <w:rsid w:val="0054328A"/>
    <w:rsid w:val="00543D80"/>
    <w:rsid w:val="0054403D"/>
    <w:rsid w:val="00546BFD"/>
    <w:rsid w:val="005478A3"/>
    <w:rsid w:val="00547DB1"/>
    <w:rsid w:val="00550156"/>
    <w:rsid w:val="005518D3"/>
    <w:rsid w:val="00552058"/>
    <w:rsid w:val="00552CCE"/>
    <w:rsid w:val="005547A3"/>
    <w:rsid w:val="00555EE1"/>
    <w:rsid w:val="00557709"/>
    <w:rsid w:val="0055780C"/>
    <w:rsid w:val="00557915"/>
    <w:rsid w:val="00560807"/>
    <w:rsid w:val="00561285"/>
    <w:rsid w:val="0056182B"/>
    <w:rsid w:val="00563BAC"/>
    <w:rsid w:val="00563D74"/>
    <w:rsid w:val="0056450B"/>
    <w:rsid w:val="00565137"/>
    <w:rsid w:val="00566F8E"/>
    <w:rsid w:val="00567A78"/>
    <w:rsid w:val="005700BB"/>
    <w:rsid w:val="0057017B"/>
    <w:rsid w:val="00575570"/>
    <w:rsid w:val="00576781"/>
    <w:rsid w:val="00576B74"/>
    <w:rsid w:val="0058011E"/>
    <w:rsid w:val="005806A5"/>
    <w:rsid w:val="00581413"/>
    <w:rsid w:val="0058148C"/>
    <w:rsid w:val="00583D21"/>
    <w:rsid w:val="0058461C"/>
    <w:rsid w:val="00585A15"/>
    <w:rsid w:val="00585A43"/>
    <w:rsid w:val="00586E8D"/>
    <w:rsid w:val="00586F47"/>
    <w:rsid w:val="005876D6"/>
    <w:rsid w:val="00590CAD"/>
    <w:rsid w:val="00593379"/>
    <w:rsid w:val="00595559"/>
    <w:rsid w:val="00595724"/>
    <w:rsid w:val="00596487"/>
    <w:rsid w:val="00597B56"/>
    <w:rsid w:val="005A16C8"/>
    <w:rsid w:val="005A1714"/>
    <w:rsid w:val="005A1E27"/>
    <w:rsid w:val="005A23D8"/>
    <w:rsid w:val="005A64E6"/>
    <w:rsid w:val="005A6940"/>
    <w:rsid w:val="005B122E"/>
    <w:rsid w:val="005B22FC"/>
    <w:rsid w:val="005B3443"/>
    <w:rsid w:val="005B3CCA"/>
    <w:rsid w:val="005B4B4C"/>
    <w:rsid w:val="005B528A"/>
    <w:rsid w:val="005B5F07"/>
    <w:rsid w:val="005B6FDD"/>
    <w:rsid w:val="005B7139"/>
    <w:rsid w:val="005B7AB7"/>
    <w:rsid w:val="005B7E63"/>
    <w:rsid w:val="005C02B7"/>
    <w:rsid w:val="005C0817"/>
    <w:rsid w:val="005C10FC"/>
    <w:rsid w:val="005C34A4"/>
    <w:rsid w:val="005C358B"/>
    <w:rsid w:val="005C59F2"/>
    <w:rsid w:val="005C6561"/>
    <w:rsid w:val="005C7C12"/>
    <w:rsid w:val="005D0000"/>
    <w:rsid w:val="005D05AD"/>
    <w:rsid w:val="005D215B"/>
    <w:rsid w:val="005D4880"/>
    <w:rsid w:val="005D5692"/>
    <w:rsid w:val="005D57F4"/>
    <w:rsid w:val="005D626C"/>
    <w:rsid w:val="005D665A"/>
    <w:rsid w:val="005D68D1"/>
    <w:rsid w:val="005D7C8C"/>
    <w:rsid w:val="005E19E5"/>
    <w:rsid w:val="005E1FE0"/>
    <w:rsid w:val="005E2264"/>
    <w:rsid w:val="005E2A9A"/>
    <w:rsid w:val="005E37B4"/>
    <w:rsid w:val="005E43F7"/>
    <w:rsid w:val="005E55AE"/>
    <w:rsid w:val="005E6FB2"/>
    <w:rsid w:val="005E7D6C"/>
    <w:rsid w:val="005F131C"/>
    <w:rsid w:val="005F2476"/>
    <w:rsid w:val="005F293B"/>
    <w:rsid w:val="005F3062"/>
    <w:rsid w:val="005F4C1A"/>
    <w:rsid w:val="005F5714"/>
    <w:rsid w:val="005F5A93"/>
    <w:rsid w:val="005F5AB1"/>
    <w:rsid w:val="005F6CAD"/>
    <w:rsid w:val="00604680"/>
    <w:rsid w:val="006051AC"/>
    <w:rsid w:val="00606569"/>
    <w:rsid w:val="00606877"/>
    <w:rsid w:val="0061064B"/>
    <w:rsid w:val="006108D8"/>
    <w:rsid w:val="00610AA9"/>
    <w:rsid w:val="006110AF"/>
    <w:rsid w:val="00611207"/>
    <w:rsid w:val="00611254"/>
    <w:rsid w:val="00611CE2"/>
    <w:rsid w:val="00611EEB"/>
    <w:rsid w:val="00612AA0"/>
    <w:rsid w:val="00613217"/>
    <w:rsid w:val="0061498E"/>
    <w:rsid w:val="006156BC"/>
    <w:rsid w:val="0061593F"/>
    <w:rsid w:val="006167C1"/>
    <w:rsid w:val="006170CD"/>
    <w:rsid w:val="00617778"/>
    <w:rsid w:val="00621C9A"/>
    <w:rsid w:val="00621D92"/>
    <w:rsid w:val="00622D8F"/>
    <w:rsid w:val="006237A4"/>
    <w:rsid w:val="006239F7"/>
    <w:rsid w:val="006241EB"/>
    <w:rsid w:val="00627C45"/>
    <w:rsid w:val="006305F9"/>
    <w:rsid w:val="0063097E"/>
    <w:rsid w:val="00632592"/>
    <w:rsid w:val="0063391F"/>
    <w:rsid w:val="00634F41"/>
    <w:rsid w:val="00634FED"/>
    <w:rsid w:val="00635B13"/>
    <w:rsid w:val="006368BA"/>
    <w:rsid w:val="006379DD"/>
    <w:rsid w:val="00640C12"/>
    <w:rsid w:val="006412B0"/>
    <w:rsid w:val="006423D7"/>
    <w:rsid w:val="006443FE"/>
    <w:rsid w:val="00644BDE"/>
    <w:rsid w:val="006452CF"/>
    <w:rsid w:val="00645309"/>
    <w:rsid w:val="0064703C"/>
    <w:rsid w:val="0065256E"/>
    <w:rsid w:val="00652ED0"/>
    <w:rsid w:val="006537B0"/>
    <w:rsid w:val="00655621"/>
    <w:rsid w:val="00662279"/>
    <w:rsid w:val="00664386"/>
    <w:rsid w:val="00664E4D"/>
    <w:rsid w:val="006651B3"/>
    <w:rsid w:val="0066567B"/>
    <w:rsid w:val="00666C8F"/>
    <w:rsid w:val="006713AB"/>
    <w:rsid w:val="00671682"/>
    <w:rsid w:val="00671ADF"/>
    <w:rsid w:val="00671CE6"/>
    <w:rsid w:val="006756B1"/>
    <w:rsid w:val="00676012"/>
    <w:rsid w:val="006801F6"/>
    <w:rsid w:val="006805C5"/>
    <w:rsid w:val="00680F47"/>
    <w:rsid w:val="006818EE"/>
    <w:rsid w:val="00681907"/>
    <w:rsid w:val="00681D8F"/>
    <w:rsid w:val="0068339B"/>
    <w:rsid w:val="00683D2C"/>
    <w:rsid w:val="00683E2D"/>
    <w:rsid w:val="00684CFE"/>
    <w:rsid w:val="0069037D"/>
    <w:rsid w:val="00690990"/>
    <w:rsid w:val="00690F10"/>
    <w:rsid w:val="00693AC2"/>
    <w:rsid w:val="00695A8C"/>
    <w:rsid w:val="00695AAF"/>
    <w:rsid w:val="00695DA0"/>
    <w:rsid w:val="00695E16"/>
    <w:rsid w:val="006962D6"/>
    <w:rsid w:val="006967EA"/>
    <w:rsid w:val="006A0022"/>
    <w:rsid w:val="006A154D"/>
    <w:rsid w:val="006A516E"/>
    <w:rsid w:val="006A5919"/>
    <w:rsid w:val="006A5D96"/>
    <w:rsid w:val="006A75EB"/>
    <w:rsid w:val="006B0534"/>
    <w:rsid w:val="006B0C79"/>
    <w:rsid w:val="006B1B3E"/>
    <w:rsid w:val="006B1CEB"/>
    <w:rsid w:val="006B2E76"/>
    <w:rsid w:val="006B473A"/>
    <w:rsid w:val="006B5710"/>
    <w:rsid w:val="006B574E"/>
    <w:rsid w:val="006B5F8B"/>
    <w:rsid w:val="006B6F5C"/>
    <w:rsid w:val="006B70CD"/>
    <w:rsid w:val="006C0359"/>
    <w:rsid w:val="006C05D3"/>
    <w:rsid w:val="006C1A25"/>
    <w:rsid w:val="006C2A08"/>
    <w:rsid w:val="006C2FCC"/>
    <w:rsid w:val="006C4282"/>
    <w:rsid w:val="006C5DA6"/>
    <w:rsid w:val="006C61C2"/>
    <w:rsid w:val="006C73E5"/>
    <w:rsid w:val="006C7DFC"/>
    <w:rsid w:val="006D120F"/>
    <w:rsid w:val="006D27DF"/>
    <w:rsid w:val="006D3566"/>
    <w:rsid w:val="006D4967"/>
    <w:rsid w:val="006D540E"/>
    <w:rsid w:val="006D5624"/>
    <w:rsid w:val="006D6642"/>
    <w:rsid w:val="006D6887"/>
    <w:rsid w:val="006D731F"/>
    <w:rsid w:val="006D7864"/>
    <w:rsid w:val="006D7B98"/>
    <w:rsid w:val="006E2AD0"/>
    <w:rsid w:val="006E3765"/>
    <w:rsid w:val="006E3D97"/>
    <w:rsid w:val="006E63FB"/>
    <w:rsid w:val="006E695A"/>
    <w:rsid w:val="006E7C0D"/>
    <w:rsid w:val="006F1BB1"/>
    <w:rsid w:val="006F1D88"/>
    <w:rsid w:val="006F2215"/>
    <w:rsid w:val="006F27FD"/>
    <w:rsid w:val="006F352F"/>
    <w:rsid w:val="007004FF"/>
    <w:rsid w:val="007019C4"/>
    <w:rsid w:val="00701B59"/>
    <w:rsid w:val="007026B5"/>
    <w:rsid w:val="00702A59"/>
    <w:rsid w:val="00703795"/>
    <w:rsid w:val="00703F97"/>
    <w:rsid w:val="00704203"/>
    <w:rsid w:val="00704EEE"/>
    <w:rsid w:val="00706B91"/>
    <w:rsid w:val="00710B15"/>
    <w:rsid w:val="00711AB4"/>
    <w:rsid w:val="007126A2"/>
    <w:rsid w:val="007137DA"/>
    <w:rsid w:val="0071386A"/>
    <w:rsid w:val="0071386E"/>
    <w:rsid w:val="00714317"/>
    <w:rsid w:val="007157DE"/>
    <w:rsid w:val="0071667D"/>
    <w:rsid w:val="00717CC1"/>
    <w:rsid w:val="00717D2E"/>
    <w:rsid w:val="00720649"/>
    <w:rsid w:val="007211E8"/>
    <w:rsid w:val="00722C01"/>
    <w:rsid w:val="00722CC4"/>
    <w:rsid w:val="00722EC6"/>
    <w:rsid w:val="0072558B"/>
    <w:rsid w:val="0072609A"/>
    <w:rsid w:val="00726EED"/>
    <w:rsid w:val="00726FAB"/>
    <w:rsid w:val="007271B5"/>
    <w:rsid w:val="00727912"/>
    <w:rsid w:val="00730846"/>
    <w:rsid w:val="00731640"/>
    <w:rsid w:val="00731FB3"/>
    <w:rsid w:val="00733148"/>
    <w:rsid w:val="00733318"/>
    <w:rsid w:val="00733E01"/>
    <w:rsid w:val="0073577E"/>
    <w:rsid w:val="00735AD2"/>
    <w:rsid w:val="007360CC"/>
    <w:rsid w:val="007366E1"/>
    <w:rsid w:val="00737FC6"/>
    <w:rsid w:val="00741DF0"/>
    <w:rsid w:val="007430EE"/>
    <w:rsid w:val="0074353C"/>
    <w:rsid w:val="00743627"/>
    <w:rsid w:val="00744A7D"/>
    <w:rsid w:val="00744FBA"/>
    <w:rsid w:val="00745915"/>
    <w:rsid w:val="007462CA"/>
    <w:rsid w:val="00747030"/>
    <w:rsid w:val="00750905"/>
    <w:rsid w:val="0075091B"/>
    <w:rsid w:val="007515D2"/>
    <w:rsid w:val="0075185C"/>
    <w:rsid w:val="007530B0"/>
    <w:rsid w:val="007564FA"/>
    <w:rsid w:val="00757C43"/>
    <w:rsid w:val="00760814"/>
    <w:rsid w:val="00760F3E"/>
    <w:rsid w:val="00761A60"/>
    <w:rsid w:val="00761CFF"/>
    <w:rsid w:val="00763042"/>
    <w:rsid w:val="007636C8"/>
    <w:rsid w:val="00763CFF"/>
    <w:rsid w:val="00764109"/>
    <w:rsid w:val="00767662"/>
    <w:rsid w:val="00767B7E"/>
    <w:rsid w:val="00767F33"/>
    <w:rsid w:val="00770F99"/>
    <w:rsid w:val="0077129E"/>
    <w:rsid w:val="0077240C"/>
    <w:rsid w:val="00773470"/>
    <w:rsid w:val="0077554C"/>
    <w:rsid w:val="0078020F"/>
    <w:rsid w:val="0078198A"/>
    <w:rsid w:val="00785EDC"/>
    <w:rsid w:val="007864F0"/>
    <w:rsid w:val="007926D5"/>
    <w:rsid w:val="0079316C"/>
    <w:rsid w:val="007939D4"/>
    <w:rsid w:val="00794570"/>
    <w:rsid w:val="007948EC"/>
    <w:rsid w:val="00794AAF"/>
    <w:rsid w:val="00794F09"/>
    <w:rsid w:val="007A010E"/>
    <w:rsid w:val="007A1858"/>
    <w:rsid w:val="007A1A8A"/>
    <w:rsid w:val="007A1EC4"/>
    <w:rsid w:val="007A2A0F"/>
    <w:rsid w:val="007A2C48"/>
    <w:rsid w:val="007A4FEE"/>
    <w:rsid w:val="007B094A"/>
    <w:rsid w:val="007B0B58"/>
    <w:rsid w:val="007B202F"/>
    <w:rsid w:val="007B2F4C"/>
    <w:rsid w:val="007B69B5"/>
    <w:rsid w:val="007B6A7A"/>
    <w:rsid w:val="007C0D3F"/>
    <w:rsid w:val="007C1199"/>
    <w:rsid w:val="007C2181"/>
    <w:rsid w:val="007C3101"/>
    <w:rsid w:val="007C3C0B"/>
    <w:rsid w:val="007C4546"/>
    <w:rsid w:val="007C468E"/>
    <w:rsid w:val="007C6923"/>
    <w:rsid w:val="007C7D32"/>
    <w:rsid w:val="007C7EB4"/>
    <w:rsid w:val="007D20C9"/>
    <w:rsid w:val="007D4C7E"/>
    <w:rsid w:val="007D7047"/>
    <w:rsid w:val="007D7745"/>
    <w:rsid w:val="007E0285"/>
    <w:rsid w:val="007E1AEA"/>
    <w:rsid w:val="007E42A0"/>
    <w:rsid w:val="007E7FAF"/>
    <w:rsid w:val="007F22DD"/>
    <w:rsid w:val="007F3132"/>
    <w:rsid w:val="007F393D"/>
    <w:rsid w:val="007F3E40"/>
    <w:rsid w:val="007F4868"/>
    <w:rsid w:val="007F5201"/>
    <w:rsid w:val="007F581F"/>
    <w:rsid w:val="007F5B74"/>
    <w:rsid w:val="007F6BDB"/>
    <w:rsid w:val="00800061"/>
    <w:rsid w:val="0080065E"/>
    <w:rsid w:val="0080199D"/>
    <w:rsid w:val="008025C4"/>
    <w:rsid w:val="008041F3"/>
    <w:rsid w:val="008066E8"/>
    <w:rsid w:val="0080710F"/>
    <w:rsid w:val="00810630"/>
    <w:rsid w:val="00811132"/>
    <w:rsid w:val="0081282F"/>
    <w:rsid w:val="00812AEF"/>
    <w:rsid w:val="008142BE"/>
    <w:rsid w:val="00814763"/>
    <w:rsid w:val="00815145"/>
    <w:rsid w:val="00816D86"/>
    <w:rsid w:val="0081724D"/>
    <w:rsid w:val="00821C2E"/>
    <w:rsid w:val="00823207"/>
    <w:rsid w:val="00824428"/>
    <w:rsid w:val="008252DA"/>
    <w:rsid w:val="00826AD6"/>
    <w:rsid w:val="00831C97"/>
    <w:rsid w:val="00831F4F"/>
    <w:rsid w:val="00832D33"/>
    <w:rsid w:val="00833302"/>
    <w:rsid w:val="00835481"/>
    <w:rsid w:val="00850655"/>
    <w:rsid w:val="00850BDE"/>
    <w:rsid w:val="00850F1E"/>
    <w:rsid w:val="008517D3"/>
    <w:rsid w:val="00851875"/>
    <w:rsid w:val="00851CD5"/>
    <w:rsid w:val="00853C85"/>
    <w:rsid w:val="00854A44"/>
    <w:rsid w:val="00854B04"/>
    <w:rsid w:val="00855045"/>
    <w:rsid w:val="00855957"/>
    <w:rsid w:val="00856999"/>
    <w:rsid w:val="00856DB6"/>
    <w:rsid w:val="00857ACA"/>
    <w:rsid w:val="00860C48"/>
    <w:rsid w:val="00861737"/>
    <w:rsid w:val="00861BB3"/>
    <w:rsid w:val="00861CBA"/>
    <w:rsid w:val="00863D9A"/>
    <w:rsid w:val="0086646A"/>
    <w:rsid w:val="00867D3E"/>
    <w:rsid w:val="0087062F"/>
    <w:rsid w:val="0087097F"/>
    <w:rsid w:val="00871709"/>
    <w:rsid w:val="00871B0D"/>
    <w:rsid w:val="008729A5"/>
    <w:rsid w:val="00872F38"/>
    <w:rsid w:val="00873708"/>
    <w:rsid w:val="008742D6"/>
    <w:rsid w:val="00875AA9"/>
    <w:rsid w:val="00876250"/>
    <w:rsid w:val="00876BCE"/>
    <w:rsid w:val="00880F24"/>
    <w:rsid w:val="0088128A"/>
    <w:rsid w:val="008833BE"/>
    <w:rsid w:val="00884DE5"/>
    <w:rsid w:val="00884DEA"/>
    <w:rsid w:val="008865BA"/>
    <w:rsid w:val="00887A24"/>
    <w:rsid w:val="0089236D"/>
    <w:rsid w:val="0089300D"/>
    <w:rsid w:val="00893E37"/>
    <w:rsid w:val="00894D50"/>
    <w:rsid w:val="00895FD7"/>
    <w:rsid w:val="008962AE"/>
    <w:rsid w:val="0089630A"/>
    <w:rsid w:val="008A086A"/>
    <w:rsid w:val="008A1818"/>
    <w:rsid w:val="008A30B6"/>
    <w:rsid w:val="008A324A"/>
    <w:rsid w:val="008A3617"/>
    <w:rsid w:val="008A3E01"/>
    <w:rsid w:val="008A3FDA"/>
    <w:rsid w:val="008B002B"/>
    <w:rsid w:val="008B0F1D"/>
    <w:rsid w:val="008B10C3"/>
    <w:rsid w:val="008B152E"/>
    <w:rsid w:val="008B1FC7"/>
    <w:rsid w:val="008B225F"/>
    <w:rsid w:val="008B66E8"/>
    <w:rsid w:val="008C01F6"/>
    <w:rsid w:val="008C021D"/>
    <w:rsid w:val="008C02CC"/>
    <w:rsid w:val="008C1472"/>
    <w:rsid w:val="008C1708"/>
    <w:rsid w:val="008C1863"/>
    <w:rsid w:val="008C249C"/>
    <w:rsid w:val="008C3C3E"/>
    <w:rsid w:val="008C4D03"/>
    <w:rsid w:val="008C4EF0"/>
    <w:rsid w:val="008C7B0C"/>
    <w:rsid w:val="008D1152"/>
    <w:rsid w:val="008D246C"/>
    <w:rsid w:val="008E2831"/>
    <w:rsid w:val="008E3B61"/>
    <w:rsid w:val="008E469A"/>
    <w:rsid w:val="008E51C8"/>
    <w:rsid w:val="008E5438"/>
    <w:rsid w:val="008E5862"/>
    <w:rsid w:val="008E5A49"/>
    <w:rsid w:val="008E605B"/>
    <w:rsid w:val="008F0BB8"/>
    <w:rsid w:val="008F101A"/>
    <w:rsid w:val="008F1692"/>
    <w:rsid w:val="008F1F95"/>
    <w:rsid w:val="008F2397"/>
    <w:rsid w:val="008F247A"/>
    <w:rsid w:val="008F26EC"/>
    <w:rsid w:val="008F55A9"/>
    <w:rsid w:val="008F6AB6"/>
    <w:rsid w:val="008F7042"/>
    <w:rsid w:val="0090028D"/>
    <w:rsid w:val="00900628"/>
    <w:rsid w:val="009006F9"/>
    <w:rsid w:val="00901EF6"/>
    <w:rsid w:val="00902028"/>
    <w:rsid w:val="009028E6"/>
    <w:rsid w:val="009031B3"/>
    <w:rsid w:val="0090322E"/>
    <w:rsid w:val="009041CA"/>
    <w:rsid w:val="00904C16"/>
    <w:rsid w:val="00904DEF"/>
    <w:rsid w:val="00906E80"/>
    <w:rsid w:val="00907E99"/>
    <w:rsid w:val="009100B4"/>
    <w:rsid w:val="00910387"/>
    <w:rsid w:val="0091048F"/>
    <w:rsid w:val="0091132C"/>
    <w:rsid w:val="00911604"/>
    <w:rsid w:val="00912928"/>
    <w:rsid w:val="00913101"/>
    <w:rsid w:val="009131F2"/>
    <w:rsid w:val="00913CAF"/>
    <w:rsid w:val="00914338"/>
    <w:rsid w:val="009147BD"/>
    <w:rsid w:val="00914D8E"/>
    <w:rsid w:val="00914E2F"/>
    <w:rsid w:val="009160BF"/>
    <w:rsid w:val="00920D47"/>
    <w:rsid w:val="00921E81"/>
    <w:rsid w:val="00923A5B"/>
    <w:rsid w:val="00923B95"/>
    <w:rsid w:val="00923E54"/>
    <w:rsid w:val="00924C26"/>
    <w:rsid w:val="00926CE4"/>
    <w:rsid w:val="00926DC3"/>
    <w:rsid w:val="0092766F"/>
    <w:rsid w:val="00931C0A"/>
    <w:rsid w:val="00932306"/>
    <w:rsid w:val="009330FD"/>
    <w:rsid w:val="009336E9"/>
    <w:rsid w:val="00933A15"/>
    <w:rsid w:val="00934945"/>
    <w:rsid w:val="00934DF8"/>
    <w:rsid w:val="009363AB"/>
    <w:rsid w:val="009407A1"/>
    <w:rsid w:val="00943649"/>
    <w:rsid w:val="0094367A"/>
    <w:rsid w:val="00946C19"/>
    <w:rsid w:val="00946D68"/>
    <w:rsid w:val="00946E8F"/>
    <w:rsid w:val="00951D3F"/>
    <w:rsid w:val="00952CCA"/>
    <w:rsid w:val="00952D98"/>
    <w:rsid w:val="00953B75"/>
    <w:rsid w:val="00953BAF"/>
    <w:rsid w:val="0095424B"/>
    <w:rsid w:val="009546F0"/>
    <w:rsid w:val="00954720"/>
    <w:rsid w:val="00956EE9"/>
    <w:rsid w:val="0095736F"/>
    <w:rsid w:val="00963D47"/>
    <w:rsid w:val="00964CC5"/>
    <w:rsid w:val="00964F78"/>
    <w:rsid w:val="0096522E"/>
    <w:rsid w:val="009674EE"/>
    <w:rsid w:val="00970474"/>
    <w:rsid w:val="00970475"/>
    <w:rsid w:val="009726AF"/>
    <w:rsid w:val="00973287"/>
    <w:rsid w:val="00973662"/>
    <w:rsid w:val="00973C9A"/>
    <w:rsid w:val="009741DD"/>
    <w:rsid w:val="009744CA"/>
    <w:rsid w:val="0097629E"/>
    <w:rsid w:val="00976409"/>
    <w:rsid w:val="009768ED"/>
    <w:rsid w:val="00976A2C"/>
    <w:rsid w:val="00976CE8"/>
    <w:rsid w:val="00977937"/>
    <w:rsid w:val="00977C22"/>
    <w:rsid w:val="00977FAE"/>
    <w:rsid w:val="0098016E"/>
    <w:rsid w:val="0098022C"/>
    <w:rsid w:val="009815A1"/>
    <w:rsid w:val="009825B3"/>
    <w:rsid w:val="009828A4"/>
    <w:rsid w:val="00982DFC"/>
    <w:rsid w:val="00983B8D"/>
    <w:rsid w:val="00983FDD"/>
    <w:rsid w:val="0098481D"/>
    <w:rsid w:val="00984AF9"/>
    <w:rsid w:val="009851AF"/>
    <w:rsid w:val="00986B4C"/>
    <w:rsid w:val="00987B48"/>
    <w:rsid w:val="00987EB4"/>
    <w:rsid w:val="00990A46"/>
    <w:rsid w:val="00990EE1"/>
    <w:rsid w:val="00993C01"/>
    <w:rsid w:val="00993C02"/>
    <w:rsid w:val="00994CCD"/>
    <w:rsid w:val="00995690"/>
    <w:rsid w:val="00995E0C"/>
    <w:rsid w:val="0099709C"/>
    <w:rsid w:val="009A112E"/>
    <w:rsid w:val="009A25D0"/>
    <w:rsid w:val="009A2B33"/>
    <w:rsid w:val="009A3D3D"/>
    <w:rsid w:val="009A40D0"/>
    <w:rsid w:val="009A581D"/>
    <w:rsid w:val="009A7782"/>
    <w:rsid w:val="009A782F"/>
    <w:rsid w:val="009B131A"/>
    <w:rsid w:val="009B2A30"/>
    <w:rsid w:val="009B4F96"/>
    <w:rsid w:val="009B6C82"/>
    <w:rsid w:val="009C0A1E"/>
    <w:rsid w:val="009C196E"/>
    <w:rsid w:val="009C25FD"/>
    <w:rsid w:val="009C2D2F"/>
    <w:rsid w:val="009C3A70"/>
    <w:rsid w:val="009C42B9"/>
    <w:rsid w:val="009C4465"/>
    <w:rsid w:val="009C6F47"/>
    <w:rsid w:val="009C775E"/>
    <w:rsid w:val="009D0011"/>
    <w:rsid w:val="009D0A88"/>
    <w:rsid w:val="009D1878"/>
    <w:rsid w:val="009D18AC"/>
    <w:rsid w:val="009D1ACD"/>
    <w:rsid w:val="009D460E"/>
    <w:rsid w:val="009D54CE"/>
    <w:rsid w:val="009D7FF7"/>
    <w:rsid w:val="009E01F0"/>
    <w:rsid w:val="009E0C0B"/>
    <w:rsid w:val="009E557F"/>
    <w:rsid w:val="009E6A59"/>
    <w:rsid w:val="009E78C4"/>
    <w:rsid w:val="009F0485"/>
    <w:rsid w:val="009F0BE1"/>
    <w:rsid w:val="009F149F"/>
    <w:rsid w:val="009F1970"/>
    <w:rsid w:val="009F1A99"/>
    <w:rsid w:val="009F2E46"/>
    <w:rsid w:val="009F3D87"/>
    <w:rsid w:val="009F5E72"/>
    <w:rsid w:val="009F6C7E"/>
    <w:rsid w:val="009F709E"/>
    <w:rsid w:val="009F78F9"/>
    <w:rsid w:val="009F793B"/>
    <w:rsid w:val="009F79FE"/>
    <w:rsid w:val="00A00E79"/>
    <w:rsid w:val="00A038A7"/>
    <w:rsid w:val="00A04D93"/>
    <w:rsid w:val="00A05A7F"/>
    <w:rsid w:val="00A068D6"/>
    <w:rsid w:val="00A10466"/>
    <w:rsid w:val="00A10A57"/>
    <w:rsid w:val="00A10B7C"/>
    <w:rsid w:val="00A10F8F"/>
    <w:rsid w:val="00A11B51"/>
    <w:rsid w:val="00A11EE2"/>
    <w:rsid w:val="00A13339"/>
    <w:rsid w:val="00A14065"/>
    <w:rsid w:val="00A15DB9"/>
    <w:rsid w:val="00A17AAE"/>
    <w:rsid w:val="00A234E7"/>
    <w:rsid w:val="00A2474A"/>
    <w:rsid w:val="00A24C22"/>
    <w:rsid w:val="00A24E15"/>
    <w:rsid w:val="00A25839"/>
    <w:rsid w:val="00A3092D"/>
    <w:rsid w:val="00A3095C"/>
    <w:rsid w:val="00A30A7F"/>
    <w:rsid w:val="00A315F6"/>
    <w:rsid w:val="00A31D21"/>
    <w:rsid w:val="00A31D96"/>
    <w:rsid w:val="00A3218A"/>
    <w:rsid w:val="00A35269"/>
    <w:rsid w:val="00A352E2"/>
    <w:rsid w:val="00A37A50"/>
    <w:rsid w:val="00A37BC2"/>
    <w:rsid w:val="00A40A75"/>
    <w:rsid w:val="00A40AC6"/>
    <w:rsid w:val="00A41887"/>
    <w:rsid w:val="00A41E0E"/>
    <w:rsid w:val="00A42021"/>
    <w:rsid w:val="00A43468"/>
    <w:rsid w:val="00A43781"/>
    <w:rsid w:val="00A466D5"/>
    <w:rsid w:val="00A46ABB"/>
    <w:rsid w:val="00A5233F"/>
    <w:rsid w:val="00A536FA"/>
    <w:rsid w:val="00A53909"/>
    <w:rsid w:val="00A53B01"/>
    <w:rsid w:val="00A53DFA"/>
    <w:rsid w:val="00A54CED"/>
    <w:rsid w:val="00A560BD"/>
    <w:rsid w:val="00A56127"/>
    <w:rsid w:val="00A615B4"/>
    <w:rsid w:val="00A61A97"/>
    <w:rsid w:val="00A61BC1"/>
    <w:rsid w:val="00A61CEC"/>
    <w:rsid w:val="00A62BEB"/>
    <w:rsid w:val="00A631D2"/>
    <w:rsid w:val="00A63848"/>
    <w:rsid w:val="00A63BCF"/>
    <w:rsid w:val="00A63C4B"/>
    <w:rsid w:val="00A6588B"/>
    <w:rsid w:val="00A65A36"/>
    <w:rsid w:val="00A65CAB"/>
    <w:rsid w:val="00A6669D"/>
    <w:rsid w:val="00A667A5"/>
    <w:rsid w:val="00A66E73"/>
    <w:rsid w:val="00A70A53"/>
    <w:rsid w:val="00A728AE"/>
    <w:rsid w:val="00A7377E"/>
    <w:rsid w:val="00A741BD"/>
    <w:rsid w:val="00A742B1"/>
    <w:rsid w:val="00A7531B"/>
    <w:rsid w:val="00A75BD8"/>
    <w:rsid w:val="00A81232"/>
    <w:rsid w:val="00A81D35"/>
    <w:rsid w:val="00A81EB2"/>
    <w:rsid w:val="00A828B2"/>
    <w:rsid w:val="00A82C64"/>
    <w:rsid w:val="00A82FE8"/>
    <w:rsid w:val="00A849B5"/>
    <w:rsid w:val="00A8510E"/>
    <w:rsid w:val="00A914B2"/>
    <w:rsid w:val="00A92B69"/>
    <w:rsid w:val="00A93694"/>
    <w:rsid w:val="00A94FE3"/>
    <w:rsid w:val="00A962FE"/>
    <w:rsid w:val="00A9782E"/>
    <w:rsid w:val="00A97F1F"/>
    <w:rsid w:val="00AA1546"/>
    <w:rsid w:val="00AA2605"/>
    <w:rsid w:val="00AA2B0D"/>
    <w:rsid w:val="00AA307D"/>
    <w:rsid w:val="00AA3B01"/>
    <w:rsid w:val="00AA49E8"/>
    <w:rsid w:val="00AA6CBC"/>
    <w:rsid w:val="00AA7D41"/>
    <w:rsid w:val="00AB1ACB"/>
    <w:rsid w:val="00AB43FB"/>
    <w:rsid w:val="00AB5450"/>
    <w:rsid w:val="00AC0FFC"/>
    <w:rsid w:val="00AC1922"/>
    <w:rsid w:val="00AC1A3A"/>
    <w:rsid w:val="00AC1F57"/>
    <w:rsid w:val="00AC3AD3"/>
    <w:rsid w:val="00AC3B40"/>
    <w:rsid w:val="00AC51AB"/>
    <w:rsid w:val="00AC6CAF"/>
    <w:rsid w:val="00AC7897"/>
    <w:rsid w:val="00AD08E9"/>
    <w:rsid w:val="00AD161D"/>
    <w:rsid w:val="00AD175D"/>
    <w:rsid w:val="00AD204C"/>
    <w:rsid w:val="00AD31F7"/>
    <w:rsid w:val="00AD5040"/>
    <w:rsid w:val="00AD6EA3"/>
    <w:rsid w:val="00AD7562"/>
    <w:rsid w:val="00AE04B6"/>
    <w:rsid w:val="00AE0E27"/>
    <w:rsid w:val="00AE1270"/>
    <w:rsid w:val="00AE183D"/>
    <w:rsid w:val="00AE2FC4"/>
    <w:rsid w:val="00AE3E6B"/>
    <w:rsid w:val="00AE4229"/>
    <w:rsid w:val="00AE46A8"/>
    <w:rsid w:val="00AE5589"/>
    <w:rsid w:val="00AE5D1F"/>
    <w:rsid w:val="00AE62FD"/>
    <w:rsid w:val="00AE7E21"/>
    <w:rsid w:val="00AF1809"/>
    <w:rsid w:val="00AF23F2"/>
    <w:rsid w:val="00AF4069"/>
    <w:rsid w:val="00AF50CE"/>
    <w:rsid w:val="00AF6D0A"/>
    <w:rsid w:val="00B02A3F"/>
    <w:rsid w:val="00B041F7"/>
    <w:rsid w:val="00B04415"/>
    <w:rsid w:val="00B04CDF"/>
    <w:rsid w:val="00B07292"/>
    <w:rsid w:val="00B10384"/>
    <w:rsid w:val="00B12052"/>
    <w:rsid w:val="00B12D7B"/>
    <w:rsid w:val="00B135AE"/>
    <w:rsid w:val="00B13AB5"/>
    <w:rsid w:val="00B13C1B"/>
    <w:rsid w:val="00B1515A"/>
    <w:rsid w:val="00B15634"/>
    <w:rsid w:val="00B1568F"/>
    <w:rsid w:val="00B17E7F"/>
    <w:rsid w:val="00B201A8"/>
    <w:rsid w:val="00B21F6C"/>
    <w:rsid w:val="00B23F16"/>
    <w:rsid w:val="00B24F2A"/>
    <w:rsid w:val="00B27426"/>
    <w:rsid w:val="00B317E9"/>
    <w:rsid w:val="00B31C7E"/>
    <w:rsid w:val="00B3242A"/>
    <w:rsid w:val="00B32BB9"/>
    <w:rsid w:val="00B32FDB"/>
    <w:rsid w:val="00B35F93"/>
    <w:rsid w:val="00B373B6"/>
    <w:rsid w:val="00B4047D"/>
    <w:rsid w:val="00B44880"/>
    <w:rsid w:val="00B4496D"/>
    <w:rsid w:val="00B45294"/>
    <w:rsid w:val="00B456DB"/>
    <w:rsid w:val="00B46A44"/>
    <w:rsid w:val="00B47B6A"/>
    <w:rsid w:val="00B50088"/>
    <w:rsid w:val="00B50FD0"/>
    <w:rsid w:val="00B51B02"/>
    <w:rsid w:val="00B52F1E"/>
    <w:rsid w:val="00B53725"/>
    <w:rsid w:val="00B53A7C"/>
    <w:rsid w:val="00B53FE7"/>
    <w:rsid w:val="00B554B1"/>
    <w:rsid w:val="00B5625F"/>
    <w:rsid w:val="00B5729B"/>
    <w:rsid w:val="00B60F82"/>
    <w:rsid w:val="00B660FB"/>
    <w:rsid w:val="00B7098D"/>
    <w:rsid w:val="00B70BF5"/>
    <w:rsid w:val="00B71A8D"/>
    <w:rsid w:val="00B71BED"/>
    <w:rsid w:val="00B740C4"/>
    <w:rsid w:val="00B74E95"/>
    <w:rsid w:val="00B75232"/>
    <w:rsid w:val="00B75C0B"/>
    <w:rsid w:val="00B75C8C"/>
    <w:rsid w:val="00B768C3"/>
    <w:rsid w:val="00B76F16"/>
    <w:rsid w:val="00B8143E"/>
    <w:rsid w:val="00B8159F"/>
    <w:rsid w:val="00B8191D"/>
    <w:rsid w:val="00B834BE"/>
    <w:rsid w:val="00B83636"/>
    <w:rsid w:val="00B85435"/>
    <w:rsid w:val="00B8547F"/>
    <w:rsid w:val="00B86309"/>
    <w:rsid w:val="00B904D1"/>
    <w:rsid w:val="00B91B4F"/>
    <w:rsid w:val="00B91C21"/>
    <w:rsid w:val="00B9231B"/>
    <w:rsid w:val="00B929CC"/>
    <w:rsid w:val="00B92A55"/>
    <w:rsid w:val="00B92F1B"/>
    <w:rsid w:val="00B93107"/>
    <w:rsid w:val="00B96427"/>
    <w:rsid w:val="00BA1CE2"/>
    <w:rsid w:val="00BA3056"/>
    <w:rsid w:val="00BA4ED5"/>
    <w:rsid w:val="00BA4F22"/>
    <w:rsid w:val="00BA4FF0"/>
    <w:rsid w:val="00BA5206"/>
    <w:rsid w:val="00BA5232"/>
    <w:rsid w:val="00BA5236"/>
    <w:rsid w:val="00BA54F3"/>
    <w:rsid w:val="00BA5B87"/>
    <w:rsid w:val="00BA7510"/>
    <w:rsid w:val="00BA7A99"/>
    <w:rsid w:val="00BB0087"/>
    <w:rsid w:val="00BB07A2"/>
    <w:rsid w:val="00BB1156"/>
    <w:rsid w:val="00BB2081"/>
    <w:rsid w:val="00BB2478"/>
    <w:rsid w:val="00BB2654"/>
    <w:rsid w:val="00BB6691"/>
    <w:rsid w:val="00BC04FE"/>
    <w:rsid w:val="00BC1491"/>
    <w:rsid w:val="00BC25C0"/>
    <w:rsid w:val="00BC25FB"/>
    <w:rsid w:val="00BC2C0E"/>
    <w:rsid w:val="00BC2E97"/>
    <w:rsid w:val="00BC2F7D"/>
    <w:rsid w:val="00BC5A15"/>
    <w:rsid w:val="00BD098C"/>
    <w:rsid w:val="00BD1A35"/>
    <w:rsid w:val="00BD1D49"/>
    <w:rsid w:val="00BD2002"/>
    <w:rsid w:val="00BD2805"/>
    <w:rsid w:val="00BD2CCE"/>
    <w:rsid w:val="00BD3476"/>
    <w:rsid w:val="00BD38C5"/>
    <w:rsid w:val="00BD3B24"/>
    <w:rsid w:val="00BD4371"/>
    <w:rsid w:val="00BD43E0"/>
    <w:rsid w:val="00BD64C3"/>
    <w:rsid w:val="00BD6604"/>
    <w:rsid w:val="00BD7537"/>
    <w:rsid w:val="00BD7542"/>
    <w:rsid w:val="00BE0D60"/>
    <w:rsid w:val="00BE0DE0"/>
    <w:rsid w:val="00BE127F"/>
    <w:rsid w:val="00BE1F23"/>
    <w:rsid w:val="00BE4AAE"/>
    <w:rsid w:val="00BE507F"/>
    <w:rsid w:val="00BE54AA"/>
    <w:rsid w:val="00BE59D8"/>
    <w:rsid w:val="00BE78B6"/>
    <w:rsid w:val="00BF0E1D"/>
    <w:rsid w:val="00C00AEA"/>
    <w:rsid w:val="00C012FA"/>
    <w:rsid w:val="00C02CB1"/>
    <w:rsid w:val="00C035CE"/>
    <w:rsid w:val="00C036C9"/>
    <w:rsid w:val="00C0551D"/>
    <w:rsid w:val="00C062E7"/>
    <w:rsid w:val="00C06769"/>
    <w:rsid w:val="00C11683"/>
    <w:rsid w:val="00C119CD"/>
    <w:rsid w:val="00C11A75"/>
    <w:rsid w:val="00C12124"/>
    <w:rsid w:val="00C124A5"/>
    <w:rsid w:val="00C12543"/>
    <w:rsid w:val="00C17D10"/>
    <w:rsid w:val="00C2078F"/>
    <w:rsid w:val="00C21893"/>
    <w:rsid w:val="00C21D6B"/>
    <w:rsid w:val="00C2371F"/>
    <w:rsid w:val="00C24C0C"/>
    <w:rsid w:val="00C25BED"/>
    <w:rsid w:val="00C30648"/>
    <w:rsid w:val="00C31AD6"/>
    <w:rsid w:val="00C3259F"/>
    <w:rsid w:val="00C34E48"/>
    <w:rsid w:val="00C35286"/>
    <w:rsid w:val="00C35B44"/>
    <w:rsid w:val="00C35C13"/>
    <w:rsid w:val="00C36D48"/>
    <w:rsid w:val="00C37007"/>
    <w:rsid w:val="00C37859"/>
    <w:rsid w:val="00C37E77"/>
    <w:rsid w:val="00C412F5"/>
    <w:rsid w:val="00C414BF"/>
    <w:rsid w:val="00C41550"/>
    <w:rsid w:val="00C4191D"/>
    <w:rsid w:val="00C41A3C"/>
    <w:rsid w:val="00C4323D"/>
    <w:rsid w:val="00C45725"/>
    <w:rsid w:val="00C5133B"/>
    <w:rsid w:val="00C5303F"/>
    <w:rsid w:val="00C5333F"/>
    <w:rsid w:val="00C53BEA"/>
    <w:rsid w:val="00C5458F"/>
    <w:rsid w:val="00C54873"/>
    <w:rsid w:val="00C5677A"/>
    <w:rsid w:val="00C56C3D"/>
    <w:rsid w:val="00C608C5"/>
    <w:rsid w:val="00C615DD"/>
    <w:rsid w:val="00C61BFC"/>
    <w:rsid w:val="00C63BF0"/>
    <w:rsid w:val="00C63EB3"/>
    <w:rsid w:val="00C64144"/>
    <w:rsid w:val="00C64650"/>
    <w:rsid w:val="00C6698B"/>
    <w:rsid w:val="00C71AE2"/>
    <w:rsid w:val="00C73F24"/>
    <w:rsid w:val="00C75314"/>
    <w:rsid w:val="00C76106"/>
    <w:rsid w:val="00C800F5"/>
    <w:rsid w:val="00C8277C"/>
    <w:rsid w:val="00C829E1"/>
    <w:rsid w:val="00C82FD6"/>
    <w:rsid w:val="00C83785"/>
    <w:rsid w:val="00C83E29"/>
    <w:rsid w:val="00C84449"/>
    <w:rsid w:val="00C85B7E"/>
    <w:rsid w:val="00C867D3"/>
    <w:rsid w:val="00C86A4D"/>
    <w:rsid w:val="00C870E4"/>
    <w:rsid w:val="00C8739B"/>
    <w:rsid w:val="00C909E3"/>
    <w:rsid w:val="00C90E9E"/>
    <w:rsid w:val="00C930C1"/>
    <w:rsid w:val="00C9373E"/>
    <w:rsid w:val="00CA1507"/>
    <w:rsid w:val="00CA191E"/>
    <w:rsid w:val="00CA1C9C"/>
    <w:rsid w:val="00CA580B"/>
    <w:rsid w:val="00CA659A"/>
    <w:rsid w:val="00CB0981"/>
    <w:rsid w:val="00CB110D"/>
    <w:rsid w:val="00CB63E6"/>
    <w:rsid w:val="00CB7D95"/>
    <w:rsid w:val="00CC1369"/>
    <w:rsid w:val="00CC3157"/>
    <w:rsid w:val="00CC4942"/>
    <w:rsid w:val="00CC4FED"/>
    <w:rsid w:val="00CC5B9B"/>
    <w:rsid w:val="00CC7798"/>
    <w:rsid w:val="00CD1FA7"/>
    <w:rsid w:val="00CD2999"/>
    <w:rsid w:val="00CD3F59"/>
    <w:rsid w:val="00CD638B"/>
    <w:rsid w:val="00CD7301"/>
    <w:rsid w:val="00CE180A"/>
    <w:rsid w:val="00CE3E8C"/>
    <w:rsid w:val="00CE5CAC"/>
    <w:rsid w:val="00CE6115"/>
    <w:rsid w:val="00CE66FB"/>
    <w:rsid w:val="00CF397E"/>
    <w:rsid w:val="00CF4871"/>
    <w:rsid w:val="00CF5A07"/>
    <w:rsid w:val="00CF5E1F"/>
    <w:rsid w:val="00CF63A8"/>
    <w:rsid w:val="00CF6B8C"/>
    <w:rsid w:val="00D000C7"/>
    <w:rsid w:val="00D009C3"/>
    <w:rsid w:val="00D01EA2"/>
    <w:rsid w:val="00D03495"/>
    <w:rsid w:val="00D036E7"/>
    <w:rsid w:val="00D039E0"/>
    <w:rsid w:val="00D043C3"/>
    <w:rsid w:val="00D0446B"/>
    <w:rsid w:val="00D046F1"/>
    <w:rsid w:val="00D062D1"/>
    <w:rsid w:val="00D06BF2"/>
    <w:rsid w:val="00D07A18"/>
    <w:rsid w:val="00D10261"/>
    <w:rsid w:val="00D11E94"/>
    <w:rsid w:val="00D12ED0"/>
    <w:rsid w:val="00D1312A"/>
    <w:rsid w:val="00D13148"/>
    <w:rsid w:val="00D13464"/>
    <w:rsid w:val="00D144EB"/>
    <w:rsid w:val="00D16911"/>
    <w:rsid w:val="00D16E6D"/>
    <w:rsid w:val="00D17769"/>
    <w:rsid w:val="00D200E0"/>
    <w:rsid w:val="00D22733"/>
    <w:rsid w:val="00D24761"/>
    <w:rsid w:val="00D26056"/>
    <w:rsid w:val="00D26647"/>
    <w:rsid w:val="00D2699F"/>
    <w:rsid w:val="00D26D18"/>
    <w:rsid w:val="00D30E96"/>
    <w:rsid w:val="00D33379"/>
    <w:rsid w:val="00D340AF"/>
    <w:rsid w:val="00D3685E"/>
    <w:rsid w:val="00D37323"/>
    <w:rsid w:val="00D37838"/>
    <w:rsid w:val="00D37BE8"/>
    <w:rsid w:val="00D40C6C"/>
    <w:rsid w:val="00D41111"/>
    <w:rsid w:val="00D425F2"/>
    <w:rsid w:val="00D42CBE"/>
    <w:rsid w:val="00D42FFD"/>
    <w:rsid w:val="00D45500"/>
    <w:rsid w:val="00D46010"/>
    <w:rsid w:val="00D47706"/>
    <w:rsid w:val="00D54336"/>
    <w:rsid w:val="00D54CA8"/>
    <w:rsid w:val="00D54F5C"/>
    <w:rsid w:val="00D566F4"/>
    <w:rsid w:val="00D566F9"/>
    <w:rsid w:val="00D57ABF"/>
    <w:rsid w:val="00D60A5B"/>
    <w:rsid w:val="00D61FCE"/>
    <w:rsid w:val="00D6446F"/>
    <w:rsid w:val="00D64724"/>
    <w:rsid w:val="00D64FD8"/>
    <w:rsid w:val="00D6530B"/>
    <w:rsid w:val="00D65902"/>
    <w:rsid w:val="00D66628"/>
    <w:rsid w:val="00D66D39"/>
    <w:rsid w:val="00D67437"/>
    <w:rsid w:val="00D72B6E"/>
    <w:rsid w:val="00D72EB2"/>
    <w:rsid w:val="00D735DC"/>
    <w:rsid w:val="00D74562"/>
    <w:rsid w:val="00D74EDA"/>
    <w:rsid w:val="00D751A0"/>
    <w:rsid w:val="00D7539C"/>
    <w:rsid w:val="00D75E9E"/>
    <w:rsid w:val="00D75ED3"/>
    <w:rsid w:val="00D77A36"/>
    <w:rsid w:val="00D77E09"/>
    <w:rsid w:val="00D82973"/>
    <w:rsid w:val="00D82C6F"/>
    <w:rsid w:val="00D84DEA"/>
    <w:rsid w:val="00D903AA"/>
    <w:rsid w:val="00D90D4F"/>
    <w:rsid w:val="00D924B1"/>
    <w:rsid w:val="00D94D5B"/>
    <w:rsid w:val="00D952B9"/>
    <w:rsid w:val="00D953FD"/>
    <w:rsid w:val="00D95A4E"/>
    <w:rsid w:val="00D96DC8"/>
    <w:rsid w:val="00DA1D8E"/>
    <w:rsid w:val="00DA27E3"/>
    <w:rsid w:val="00DA3288"/>
    <w:rsid w:val="00DA3AB6"/>
    <w:rsid w:val="00DA3C7A"/>
    <w:rsid w:val="00DA4436"/>
    <w:rsid w:val="00DB0AF4"/>
    <w:rsid w:val="00DB1CE7"/>
    <w:rsid w:val="00DB1E12"/>
    <w:rsid w:val="00DB2004"/>
    <w:rsid w:val="00DB4A92"/>
    <w:rsid w:val="00DB4BF5"/>
    <w:rsid w:val="00DB4C1C"/>
    <w:rsid w:val="00DB6C46"/>
    <w:rsid w:val="00DB6C9C"/>
    <w:rsid w:val="00DB7CE5"/>
    <w:rsid w:val="00DC0313"/>
    <w:rsid w:val="00DC06FF"/>
    <w:rsid w:val="00DC3A46"/>
    <w:rsid w:val="00DC4402"/>
    <w:rsid w:val="00DC528F"/>
    <w:rsid w:val="00DD102C"/>
    <w:rsid w:val="00DD210A"/>
    <w:rsid w:val="00DD24A5"/>
    <w:rsid w:val="00DD2E9E"/>
    <w:rsid w:val="00DD3D06"/>
    <w:rsid w:val="00DD3F18"/>
    <w:rsid w:val="00DD4491"/>
    <w:rsid w:val="00DD7A16"/>
    <w:rsid w:val="00DD7F1B"/>
    <w:rsid w:val="00DD7F8A"/>
    <w:rsid w:val="00DE0CF8"/>
    <w:rsid w:val="00DE0FB6"/>
    <w:rsid w:val="00DE3561"/>
    <w:rsid w:val="00DE36E1"/>
    <w:rsid w:val="00DE55B8"/>
    <w:rsid w:val="00DE56EE"/>
    <w:rsid w:val="00DE588B"/>
    <w:rsid w:val="00DE59E5"/>
    <w:rsid w:val="00DE621D"/>
    <w:rsid w:val="00DF03B4"/>
    <w:rsid w:val="00DF1356"/>
    <w:rsid w:val="00DF1CF6"/>
    <w:rsid w:val="00DF27EC"/>
    <w:rsid w:val="00DF2B1F"/>
    <w:rsid w:val="00DF2CC7"/>
    <w:rsid w:val="00DF4F30"/>
    <w:rsid w:val="00DF51A1"/>
    <w:rsid w:val="00DF53D2"/>
    <w:rsid w:val="00DF5BED"/>
    <w:rsid w:val="00DF5D99"/>
    <w:rsid w:val="00DF5F88"/>
    <w:rsid w:val="00DF6206"/>
    <w:rsid w:val="00DF6D8E"/>
    <w:rsid w:val="00DF79BA"/>
    <w:rsid w:val="00E009CF"/>
    <w:rsid w:val="00E00C6C"/>
    <w:rsid w:val="00E02207"/>
    <w:rsid w:val="00E0297B"/>
    <w:rsid w:val="00E02C74"/>
    <w:rsid w:val="00E034CD"/>
    <w:rsid w:val="00E03CE4"/>
    <w:rsid w:val="00E04896"/>
    <w:rsid w:val="00E049A0"/>
    <w:rsid w:val="00E052F8"/>
    <w:rsid w:val="00E05A54"/>
    <w:rsid w:val="00E0750D"/>
    <w:rsid w:val="00E07EB4"/>
    <w:rsid w:val="00E11B30"/>
    <w:rsid w:val="00E12301"/>
    <w:rsid w:val="00E12A08"/>
    <w:rsid w:val="00E1332D"/>
    <w:rsid w:val="00E14B3C"/>
    <w:rsid w:val="00E15EC7"/>
    <w:rsid w:val="00E16352"/>
    <w:rsid w:val="00E16EED"/>
    <w:rsid w:val="00E174FE"/>
    <w:rsid w:val="00E21FB8"/>
    <w:rsid w:val="00E231AA"/>
    <w:rsid w:val="00E2400C"/>
    <w:rsid w:val="00E24963"/>
    <w:rsid w:val="00E261F7"/>
    <w:rsid w:val="00E26594"/>
    <w:rsid w:val="00E26926"/>
    <w:rsid w:val="00E27EFD"/>
    <w:rsid w:val="00E30883"/>
    <w:rsid w:val="00E30B74"/>
    <w:rsid w:val="00E30CBD"/>
    <w:rsid w:val="00E32634"/>
    <w:rsid w:val="00E331D8"/>
    <w:rsid w:val="00E34018"/>
    <w:rsid w:val="00E3449A"/>
    <w:rsid w:val="00E34CBA"/>
    <w:rsid w:val="00E34FA5"/>
    <w:rsid w:val="00E41DF9"/>
    <w:rsid w:val="00E42082"/>
    <w:rsid w:val="00E42BD7"/>
    <w:rsid w:val="00E433DF"/>
    <w:rsid w:val="00E43A77"/>
    <w:rsid w:val="00E46FBD"/>
    <w:rsid w:val="00E47998"/>
    <w:rsid w:val="00E502AC"/>
    <w:rsid w:val="00E53ED2"/>
    <w:rsid w:val="00E547DB"/>
    <w:rsid w:val="00E608B1"/>
    <w:rsid w:val="00E6157D"/>
    <w:rsid w:val="00E63EB2"/>
    <w:rsid w:val="00E63EC9"/>
    <w:rsid w:val="00E644A9"/>
    <w:rsid w:val="00E6511D"/>
    <w:rsid w:val="00E66537"/>
    <w:rsid w:val="00E67355"/>
    <w:rsid w:val="00E70209"/>
    <w:rsid w:val="00E71537"/>
    <w:rsid w:val="00E720D8"/>
    <w:rsid w:val="00E74004"/>
    <w:rsid w:val="00E74F75"/>
    <w:rsid w:val="00E7554D"/>
    <w:rsid w:val="00E7672F"/>
    <w:rsid w:val="00E80368"/>
    <w:rsid w:val="00E85B66"/>
    <w:rsid w:val="00E86892"/>
    <w:rsid w:val="00E87E35"/>
    <w:rsid w:val="00E9113F"/>
    <w:rsid w:val="00E91C4F"/>
    <w:rsid w:val="00E93E95"/>
    <w:rsid w:val="00E94311"/>
    <w:rsid w:val="00E9474D"/>
    <w:rsid w:val="00E94D14"/>
    <w:rsid w:val="00EA12D5"/>
    <w:rsid w:val="00EA204C"/>
    <w:rsid w:val="00EA2921"/>
    <w:rsid w:val="00EA2D6A"/>
    <w:rsid w:val="00EA4FFF"/>
    <w:rsid w:val="00EA5A8C"/>
    <w:rsid w:val="00EA618A"/>
    <w:rsid w:val="00EA66F9"/>
    <w:rsid w:val="00EB0035"/>
    <w:rsid w:val="00EB20A8"/>
    <w:rsid w:val="00EB28E2"/>
    <w:rsid w:val="00EB30D4"/>
    <w:rsid w:val="00EB7C9A"/>
    <w:rsid w:val="00EB7DA4"/>
    <w:rsid w:val="00EC274B"/>
    <w:rsid w:val="00EC2C1B"/>
    <w:rsid w:val="00EC310E"/>
    <w:rsid w:val="00EC35FA"/>
    <w:rsid w:val="00EC45C8"/>
    <w:rsid w:val="00EC4E7F"/>
    <w:rsid w:val="00EC512F"/>
    <w:rsid w:val="00EC54CE"/>
    <w:rsid w:val="00EC5907"/>
    <w:rsid w:val="00EC5B69"/>
    <w:rsid w:val="00EC601F"/>
    <w:rsid w:val="00EC6A33"/>
    <w:rsid w:val="00EC6F71"/>
    <w:rsid w:val="00EC7175"/>
    <w:rsid w:val="00EC7A19"/>
    <w:rsid w:val="00EC7BE3"/>
    <w:rsid w:val="00ED0A4F"/>
    <w:rsid w:val="00ED0B9C"/>
    <w:rsid w:val="00ED17DB"/>
    <w:rsid w:val="00ED34F4"/>
    <w:rsid w:val="00ED3717"/>
    <w:rsid w:val="00ED4C13"/>
    <w:rsid w:val="00ED6D04"/>
    <w:rsid w:val="00EE039F"/>
    <w:rsid w:val="00EE1532"/>
    <w:rsid w:val="00EE20B4"/>
    <w:rsid w:val="00EE2BEF"/>
    <w:rsid w:val="00EE34F8"/>
    <w:rsid w:val="00EE4949"/>
    <w:rsid w:val="00EE5F9D"/>
    <w:rsid w:val="00EE6AFB"/>
    <w:rsid w:val="00EE70C8"/>
    <w:rsid w:val="00EF04AD"/>
    <w:rsid w:val="00EF0897"/>
    <w:rsid w:val="00EF2413"/>
    <w:rsid w:val="00F00263"/>
    <w:rsid w:val="00F006B4"/>
    <w:rsid w:val="00F00B56"/>
    <w:rsid w:val="00F010AB"/>
    <w:rsid w:val="00F07D8E"/>
    <w:rsid w:val="00F10DAF"/>
    <w:rsid w:val="00F112E8"/>
    <w:rsid w:val="00F11F3A"/>
    <w:rsid w:val="00F14A02"/>
    <w:rsid w:val="00F15FB5"/>
    <w:rsid w:val="00F16674"/>
    <w:rsid w:val="00F16EF1"/>
    <w:rsid w:val="00F17A29"/>
    <w:rsid w:val="00F17E5D"/>
    <w:rsid w:val="00F2230E"/>
    <w:rsid w:val="00F229A7"/>
    <w:rsid w:val="00F22E50"/>
    <w:rsid w:val="00F237A8"/>
    <w:rsid w:val="00F2637B"/>
    <w:rsid w:val="00F26651"/>
    <w:rsid w:val="00F26D88"/>
    <w:rsid w:val="00F27A37"/>
    <w:rsid w:val="00F31C12"/>
    <w:rsid w:val="00F324E5"/>
    <w:rsid w:val="00F326CC"/>
    <w:rsid w:val="00F32987"/>
    <w:rsid w:val="00F402F7"/>
    <w:rsid w:val="00F4047E"/>
    <w:rsid w:val="00F413AA"/>
    <w:rsid w:val="00F41BF7"/>
    <w:rsid w:val="00F42DE5"/>
    <w:rsid w:val="00F43ED0"/>
    <w:rsid w:val="00F4616F"/>
    <w:rsid w:val="00F4691E"/>
    <w:rsid w:val="00F50358"/>
    <w:rsid w:val="00F508D5"/>
    <w:rsid w:val="00F51A86"/>
    <w:rsid w:val="00F55443"/>
    <w:rsid w:val="00F55506"/>
    <w:rsid w:val="00F563C8"/>
    <w:rsid w:val="00F60200"/>
    <w:rsid w:val="00F6047E"/>
    <w:rsid w:val="00F60E27"/>
    <w:rsid w:val="00F630AC"/>
    <w:rsid w:val="00F635DF"/>
    <w:rsid w:val="00F63863"/>
    <w:rsid w:val="00F63B1F"/>
    <w:rsid w:val="00F63B4F"/>
    <w:rsid w:val="00F64E59"/>
    <w:rsid w:val="00F65459"/>
    <w:rsid w:val="00F65C24"/>
    <w:rsid w:val="00F66367"/>
    <w:rsid w:val="00F66535"/>
    <w:rsid w:val="00F71838"/>
    <w:rsid w:val="00F72F90"/>
    <w:rsid w:val="00F73A97"/>
    <w:rsid w:val="00F76779"/>
    <w:rsid w:val="00F773BA"/>
    <w:rsid w:val="00F77BD1"/>
    <w:rsid w:val="00F77F12"/>
    <w:rsid w:val="00F806BF"/>
    <w:rsid w:val="00F8172C"/>
    <w:rsid w:val="00F817B6"/>
    <w:rsid w:val="00F83036"/>
    <w:rsid w:val="00F83301"/>
    <w:rsid w:val="00F83F8E"/>
    <w:rsid w:val="00F84D5F"/>
    <w:rsid w:val="00F85244"/>
    <w:rsid w:val="00F950C0"/>
    <w:rsid w:val="00F96E4D"/>
    <w:rsid w:val="00FA016D"/>
    <w:rsid w:val="00FA0755"/>
    <w:rsid w:val="00FA0D6D"/>
    <w:rsid w:val="00FA2A06"/>
    <w:rsid w:val="00FA36E7"/>
    <w:rsid w:val="00FA3D55"/>
    <w:rsid w:val="00FA47EF"/>
    <w:rsid w:val="00FA495D"/>
    <w:rsid w:val="00FA49EE"/>
    <w:rsid w:val="00FA6D9D"/>
    <w:rsid w:val="00FA72DB"/>
    <w:rsid w:val="00FA7A12"/>
    <w:rsid w:val="00FA7A1B"/>
    <w:rsid w:val="00FB0C15"/>
    <w:rsid w:val="00FB16FC"/>
    <w:rsid w:val="00FB44CE"/>
    <w:rsid w:val="00FB6B43"/>
    <w:rsid w:val="00FC0672"/>
    <w:rsid w:val="00FC0EE6"/>
    <w:rsid w:val="00FC5375"/>
    <w:rsid w:val="00FC567A"/>
    <w:rsid w:val="00FC73A2"/>
    <w:rsid w:val="00FD157E"/>
    <w:rsid w:val="00FD3F03"/>
    <w:rsid w:val="00FD5850"/>
    <w:rsid w:val="00FD5DAD"/>
    <w:rsid w:val="00FD622C"/>
    <w:rsid w:val="00FD6A92"/>
    <w:rsid w:val="00FD7186"/>
    <w:rsid w:val="00FE04BB"/>
    <w:rsid w:val="00FE2255"/>
    <w:rsid w:val="00FE243B"/>
    <w:rsid w:val="00FE34D1"/>
    <w:rsid w:val="00FF00AD"/>
    <w:rsid w:val="00FF0F09"/>
    <w:rsid w:val="00FF1247"/>
    <w:rsid w:val="00FF232D"/>
    <w:rsid w:val="00FF37E4"/>
    <w:rsid w:val="00FF4874"/>
    <w:rsid w:val="00FF4C1C"/>
    <w:rsid w:val="00FF548F"/>
    <w:rsid w:val="00FF5F2A"/>
    <w:rsid w:val="00FF693D"/>
    <w:rsid w:val="00FF6DDB"/>
    <w:rsid w:val="00FF6EED"/>
    <w:rsid w:val="01444A6E"/>
    <w:rsid w:val="07B6603D"/>
    <w:rsid w:val="0AB762A3"/>
    <w:rsid w:val="12401DF1"/>
    <w:rsid w:val="12E3415D"/>
    <w:rsid w:val="1398054E"/>
    <w:rsid w:val="16DE67C6"/>
    <w:rsid w:val="20FB71BE"/>
    <w:rsid w:val="225B53B8"/>
    <w:rsid w:val="2B057B89"/>
    <w:rsid w:val="2FA57626"/>
    <w:rsid w:val="30F53495"/>
    <w:rsid w:val="32FE422C"/>
    <w:rsid w:val="35EB3360"/>
    <w:rsid w:val="3C1C6B44"/>
    <w:rsid w:val="3F284566"/>
    <w:rsid w:val="47135913"/>
    <w:rsid w:val="473E05C3"/>
    <w:rsid w:val="48322F92"/>
    <w:rsid w:val="4BC10E93"/>
    <w:rsid w:val="4C894842"/>
    <w:rsid w:val="4E8929D8"/>
    <w:rsid w:val="536F724B"/>
    <w:rsid w:val="58FF1BE5"/>
    <w:rsid w:val="61B20AA8"/>
    <w:rsid w:val="62E8755D"/>
    <w:rsid w:val="63421C6C"/>
    <w:rsid w:val="66C443DD"/>
    <w:rsid w:val="66CD2666"/>
    <w:rsid w:val="66D711C9"/>
    <w:rsid w:val="6A49166B"/>
    <w:rsid w:val="6FFA3206"/>
    <w:rsid w:val="710E7D22"/>
    <w:rsid w:val="711B3F16"/>
    <w:rsid w:val="71581E59"/>
    <w:rsid w:val="735B1F2B"/>
    <w:rsid w:val="73FF5520"/>
    <w:rsid w:val="7CAD205C"/>
    <w:rsid w:val="7ECE1B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iPriority="0" w:name="macro"/>
    <w:lsdException w:uiPriority="0" w:name="toa heading"/>
    <w:lsdException w:qFormat="1"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qFormat="1"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widowControl/>
      <w:numPr>
        <w:ilvl w:val="0"/>
        <w:numId w:val="1"/>
      </w:numPr>
      <w:outlineLvl w:val="0"/>
    </w:pPr>
    <w:rPr>
      <w:rFonts w:ascii="楷体_GB2312" w:eastAsia="楷体_GB2312"/>
      <w:color w:val="000000"/>
      <w:kern w:val="0"/>
      <w:sz w:val="30"/>
    </w:rPr>
  </w:style>
  <w:style w:type="paragraph" w:styleId="3">
    <w:name w:val="heading 2"/>
    <w:basedOn w:val="1"/>
    <w:next w:val="1"/>
    <w:qFormat/>
    <w:uiPriority w:val="0"/>
    <w:pPr>
      <w:keepNext/>
      <w:keepLines/>
      <w:numPr>
        <w:ilvl w:val="1"/>
        <w:numId w:val="2"/>
      </w:numPr>
      <w:tabs>
        <w:tab w:val="left" w:pos="425"/>
        <w:tab w:val="left" w:pos="1418"/>
        <w:tab w:val="clear" w:pos="947"/>
      </w:tabs>
      <w:spacing w:before="200" w:after="100" w:line="500" w:lineRule="atLeast"/>
      <w:outlineLvl w:val="1"/>
    </w:pPr>
    <w:rPr>
      <w:rFonts w:ascii="黑体" w:hAnsi="Arial" w:eastAsia="黑体"/>
      <w:b/>
      <w:sz w:val="30"/>
    </w:rPr>
  </w:style>
  <w:style w:type="paragraph" w:styleId="4">
    <w:name w:val="heading 3"/>
    <w:basedOn w:val="1"/>
    <w:next w:val="5"/>
    <w:qFormat/>
    <w:uiPriority w:val="0"/>
    <w:pPr>
      <w:keepNext/>
      <w:keepLines/>
      <w:numPr>
        <w:ilvl w:val="2"/>
        <w:numId w:val="2"/>
      </w:numPr>
      <w:tabs>
        <w:tab w:val="left" w:pos="425"/>
        <w:tab w:val="left" w:pos="1134"/>
      </w:tabs>
      <w:spacing w:before="100" w:after="100" w:line="500" w:lineRule="exact"/>
      <w:outlineLvl w:val="2"/>
    </w:pPr>
    <w:rPr>
      <w:rFonts w:eastAsia="黑体"/>
      <w:b/>
      <w:sz w:val="28"/>
    </w:rPr>
  </w:style>
  <w:style w:type="paragraph" w:styleId="6">
    <w:name w:val="heading 4"/>
    <w:basedOn w:val="1"/>
    <w:next w:val="5"/>
    <w:qFormat/>
    <w:uiPriority w:val="0"/>
    <w:pPr>
      <w:keepNext/>
      <w:keepLines/>
      <w:numPr>
        <w:ilvl w:val="3"/>
        <w:numId w:val="2"/>
      </w:numPr>
      <w:tabs>
        <w:tab w:val="left" w:pos="425"/>
        <w:tab w:val="left" w:pos="1701"/>
        <w:tab w:val="clear" w:pos="1250"/>
      </w:tabs>
      <w:spacing w:before="100" w:after="100" w:line="500" w:lineRule="exact"/>
      <w:jc w:val="left"/>
      <w:outlineLvl w:val="3"/>
    </w:pPr>
    <w:rPr>
      <w:sz w:val="24"/>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style>
  <w:style w:type="paragraph" w:styleId="7">
    <w:name w:val="annotation text"/>
    <w:basedOn w:val="1"/>
    <w:link w:val="49"/>
    <w:qFormat/>
    <w:uiPriority w:val="0"/>
    <w:pPr>
      <w:jc w:val="left"/>
    </w:pPr>
  </w:style>
  <w:style w:type="paragraph" w:styleId="8">
    <w:name w:val="Body Text 3"/>
    <w:basedOn w:val="1"/>
    <w:link w:val="61"/>
    <w:semiHidden/>
    <w:unhideWhenUsed/>
    <w:qFormat/>
    <w:uiPriority w:val="0"/>
    <w:pPr>
      <w:spacing w:after="120"/>
    </w:pPr>
    <w:rPr>
      <w:sz w:val="16"/>
      <w:szCs w:val="16"/>
    </w:rPr>
  </w:style>
  <w:style w:type="paragraph" w:styleId="9">
    <w:name w:val="Body Text"/>
    <w:basedOn w:val="1"/>
    <w:qFormat/>
    <w:uiPriority w:val="0"/>
    <w:pPr>
      <w:spacing w:line="360" w:lineRule="auto"/>
    </w:pPr>
    <w:rPr>
      <w:rFonts w:ascii="宋体"/>
      <w:sz w:val="24"/>
    </w:rPr>
  </w:style>
  <w:style w:type="paragraph" w:styleId="10">
    <w:name w:val="Body Text Indent"/>
    <w:basedOn w:val="1"/>
    <w:qFormat/>
    <w:uiPriority w:val="0"/>
    <w:pPr>
      <w:spacing w:line="500" w:lineRule="exact"/>
      <w:ind w:left="510" w:firstLine="510"/>
    </w:pPr>
    <w:rPr>
      <w:sz w:val="24"/>
    </w:rPr>
  </w:style>
  <w:style w:type="paragraph" w:styleId="11">
    <w:name w:val="Plain Text"/>
    <w:basedOn w:val="1"/>
    <w:link w:val="47"/>
    <w:qFormat/>
    <w:uiPriority w:val="0"/>
    <w:rPr>
      <w:rFonts w:ascii="宋体" w:hAnsi="Courier New"/>
    </w:rPr>
  </w:style>
  <w:style w:type="paragraph" w:styleId="12">
    <w:name w:val="Date"/>
    <w:basedOn w:val="1"/>
    <w:next w:val="1"/>
    <w:qFormat/>
    <w:uiPriority w:val="0"/>
    <w:rPr>
      <w:rFonts w:ascii="宋体"/>
    </w:rPr>
  </w:style>
  <w:style w:type="paragraph" w:styleId="13">
    <w:name w:val="Body Text Indent 2"/>
    <w:basedOn w:val="1"/>
    <w:qFormat/>
    <w:uiPriority w:val="0"/>
    <w:pPr>
      <w:spacing w:line="500" w:lineRule="atLeast"/>
      <w:ind w:firstLine="570"/>
      <w:jc w:val="left"/>
      <w:outlineLvl w:val="3"/>
    </w:pPr>
    <w:rPr>
      <w:rFonts w:ascii="宋体"/>
      <w:i/>
      <w:color w:val="000000"/>
      <w:sz w:val="28"/>
    </w:rPr>
  </w:style>
  <w:style w:type="paragraph" w:styleId="14">
    <w:name w:val="endnote text"/>
    <w:basedOn w:val="1"/>
    <w:link w:val="53"/>
    <w:qFormat/>
    <w:uiPriority w:val="0"/>
    <w:pPr>
      <w:snapToGrid w:val="0"/>
      <w:jc w:val="left"/>
    </w:pPr>
  </w:style>
  <w:style w:type="paragraph" w:styleId="15">
    <w:name w:val="Balloon Text"/>
    <w:basedOn w:val="1"/>
    <w:link w:val="48"/>
    <w:qFormat/>
    <w:uiPriority w:val="0"/>
    <w:rPr>
      <w:sz w:val="18"/>
      <w:szCs w:val="18"/>
    </w:rPr>
  </w:style>
  <w:style w:type="paragraph" w:styleId="16">
    <w:name w:val="footer"/>
    <w:basedOn w:val="1"/>
    <w:qFormat/>
    <w:uiPriority w:val="0"/>
    <w:pPr>
      <w:tabs>
        <w:tab w:val="center" w:pos="4153"/>
        <w:tab w:val="right" w:pos="8306"/>
      </w:tabs>
      <w:snapToGrid w:val="0"/>
      <w:jc w:val="left"/>
    </w:pPr>
    <w:rPr>
      <w:sz w:val="18"/>
    </w:rPr>
  </w:style>
  <w:style w:type="paragraph" w:styleId="17">
    <w:name w:val="header"/>
    <w:basedOn w:val="1"/>
    <w:link w:val="57"/>
    <w:qFormat/>
    <w:uiPriority w:val="0"/>
    <w:pPr>
      <w:pBdr>
        <w:bottom w:val="single" w:color="auto" w:sz="6" w:space="1"/>
      </w:pBdr>
      <w:tabs>
        <w:tab w:val="center" w:pos="4153"/>
        <w:tab w:val="right" w:pos="8306"/>
      </w:tabs>
      <w:snapToGrid w:val="0"/>
      <w:jc w:val="center"/>
    </w:pPr>
    <w:rPr>
      <w:sz w:val="18"/>
    </w:rPr>
  </w:style>
  <w:style w:type="paragraph" w:styleId="18">
    <w:name w:val="toc 1"/>
    <w:basedOn w:val="1"/>
    <w:next w:val="1"/>
    <w:qFormat/>
    <w:uiPriority w:val="39"/>
  </w:style>
  <w:style w:type="paragraph" w:styleId="19">
    <w:name w:val="List"/>
    <w:basedOn w:val="1"/>
    <w:qFormat/>
    <w:uiPriority w:val="0"/>
    <w:pPr>
      <w:ind w:left="420" w:hanging="420"/>
    </w:pPr>
  </w:style>
  <w:style w:type="paragraph" w:styleId="20">
    <w:name w:val="footnote text"/>
    <w:basedOn w:val="1"/>
    <w:link w:val="52"/>
    <w:qFormat/>
    <w:uiPriority w:val="0"/>
    <w:pPr>
      <w:snapToGrid w:val="0"/>
      <w:jc w:val="left"/>
    </w:pPr>
    <w:rPr>
      <w:sz w:val="18"/>
      <w:szCs w:val="18"/>
    </w:rPr>
  </w:style>
  <w:style w:type="paragraph" w:styleId="21">
    <w:name w:val="Body Text Indent 3"/>
    <w:basedOn w:val="1"/>
    <w:qFormat/>
    <w:uiPriority w:val="0"/>
    <w:pPr>
      <w:spacing w:line="360" w:lineRule="auto"/>
      <w:ind w:firstLine="480"/>
    </w:pPr>
    <w:rPr>
      <w:rFonts w:ascii="宋体"/>
    </w:rPr>
  </w:style>
  <w:style w:type="paragraph" w:styleId="22">
    <w:name w:val="HTML Preformatted"/>
    <w:basedOn w:val="1"/>
    <w:link w:val="60"/>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23">
    <w:name w:val="Normal (Web)"/>
    <w:basedOn w:val="1"/>
    <w:qFormat/>
    <w:uiPriority w:val="99"/>
    <w:pPr>
      <w:widowControl/>
      <w:spacing w:before="100" w:beforeAutospacing="1" w:after="100" w:afterAutospacing="1"/>
      <w:jc w:val="left"/>
    </w:pPr>
    <w:rPr>
      <w:rFonts w:ascii="宋体" w:hAnsi="宋体"/>
      <w:kern w:val="0"/>
      <w:sz w:val="24"/>
    </w:rPr>
  </w:style>
  <w:style w:type="paragraph" w:styleId="24">
    <w:name w:val="Title"/>
    <w:basedOn w:val="1"/>
    <w:next w:val="1"/>
    <w:link w:val="51"/>
    <w:qFormat/>
    <w:uiPriority w:val="0"/>
    <w:pPr>
      <w:spacing w:before="240" w:after="60"/>
      <w:jc w:val="center"/>
      <w:outlineLvl w:val="0"/>
    </w:pPr>
    <w:rPr>
      <w:rFonts w:ascii="Cambria" w:hAnsi="Cambria"/>
      <w:b/>
      <w:bCs/>
      <w:sz w:val="32"/>
      <w:szCs w:val="32"/>
    </w:rPr>
  </w:style>
  <w:style w:type="paragraph" w:styleId="25">
    <w:name w:val="annotation subject"/>
    <w:basedOn w:val="7"/>
    <w:next w:val="7"/>
    <w:link w:val="50"/>
    <w:qFormat/>
    <w:uiPriority w:val="0"/>
    <w:rPr>
      <w:b/>
      <w:bCs/>
    </w:r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qFormat/>
    <w:uiPriority w:val="22"/>
    <w:rPr>
      <w:b/>
      <w:bCs/>
    </w:rPr>
  </w:style>
  <w:style w:type="character" w:styleId="30">
    <w:name w:val="endnote reference"/>
    <w:basedOn w:val="28"/>
    <w:qFormat/>
    <w:uiPriority w:val="0"/>
    <w:rPr>
      <w:vertAlign w:val="superscript"/>
    </w:rPr>
  </w:style>
  <w:style w:type="character" w:styleId="31">
    <w:name w:val="page number"/>
    <w:basedOn w:val="28"/>
    <w:qFormat/>
    <w:uiPriority w:val="0"/>
  </w:style>
  <w:style w:type="character" w:styleId="32">
    <w:name w:val="Hyperlink"/>
    <w:basedOn w:val="28"/>
    <w:unhideWhenUsed/>
    <w:qFormat/>
    <w:uiPriority w:val="99"/>
    <w:rPr>
      <w:color w:val="0000FF"/>
      <w:u w:val="single"/>
    </w:rPr>
  </w:style>
  <w:style w:type="character" w:styleId="33">
    <w:name w:val="annotation reference"/>
    <w:basedOn w:val="28"/>
    <w:qFormat/>
    <w:uiPriority w:val="0"/>
    <w:rPr>
      <w:sz w:val="21"/>
      <w:szCs w:val="21"/>
    </w:rPr>
  </w:style>
  <w:style w:type="character" w:styleId="34">
    <w:name w:val="footnote reference"/>
    <w:basedOn w:val="28"/>
    <w:qFormat/>
    <w:uiPriority w:val="0"/>
    <w:rPr>
      <w:vertAlign w:val="superscript"/>
    </w:rPr>
  </w:style>
  <w:style w:type="paragraph" w:customStyle="1" w:styleId="35">
    <w:name w:val="样式3"/>
    <w:basedOn w:val="1"/>
    <w:qFormat/>
    <w:uiPriority w:val="0"/>
    <w:pPr>
      <w:tabs>
        <w:tab w:val="left" w:pos="560"/>
        <w:tab w:val="left" w:pos="1120"/>
      </w:tabs>
      <w:spacing w:line="480" w:lineRule="atLeast"/>
    </w:pPr>
    <w:rPr>
      <w:rFonts w:eastAsia="创艺简黑体"/>
      <w:b/>
      <w:sz w:val="28"/>
    </w:rPr>
  </w:style>
  <w:style w:type="paragraph" w:customStyle="1" w:styleId="36">
    <w:name w:val="font5"/>
    <w:basedOn w:val="1"/>
    <w:qFormat/>
    <w:uiPriority w:val="0"/>
    <w:pPr>
      <w:widowControl/>
      <w:spacing w:before="100" w:beforeAutospacing="1" w:after="100" w:afterAutospacing="1"/>
      <w:jc w:val="left"/>
    </w:pPr>
    <w:rPr>
      <w:rFonts w:hint="eastAsia" w:ascii="宋体" w:hAnsi="宋体" w:cs="楷体_GB2312"/>
      <w:kern w:val="0"/>
      <w:sz w:val="24"/>
      <w:szCs w:val="24"/>
    </w:rPr>
  </w:style>
  <w:style w:type="paragraph" w:customStyle="1" w:styleId="37">
    <w:name w:val="font6"/>
    <w:basedOn w:val="1"/>
    <w:qFormat/>
    <w:uiPriority w:val="0"/>
    <w:pPr>
      <w:widowControl/>
      <w:spacing w:before="100" w:beforeAutospacing="1" w:after="100" w:afterAutospacing="1"/>
      <w:jc w:val="left"/>
    </w:pPr>
    <w:rPr>
      <w:rFonts w:hint="eastAsia" w:ascii="宋体" w:hAnsi="宋体" w:cs="楷体_GB2312"/>
      <w:kern w:val="0"/>
      <w:sz w:val="18"/>
      <w:szCs w:val="18"/>
    </w:rPr>
  </w:style>
  <w:style w:type="paragraph" w:customStyle="1" w:styleId="38">
    <w:name w:val="font7"/>
    <w:basedOn w:val="1"/>
    <w:qFormat/>
    <w:uiPriority w:val="0"/>
    <w:pPr>
      <w:widowControl/>
      <w:spacing w:before="100" w:beforeAutospacing="1" w:after="100" w:afterAutospacing="1"/>
      <w:jc w:val="left"/>
    </w:pPr>
    <w:rPr>
      <w:rFonts w:eastAsia="Arial Unicode MS"/>
      <w:kern w:val="0"/>
      <w:sz w:val="24"/>
      <w:szCs w:val="24"/>
    </w:rPr>
  </w:style>
  <w:style w:type="paragraph" w:customStyle="1" w:styleId="39">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sz w:val="24"/>
      <w:szCs w:val="24"/>
    </w:rPr>
  </w:style>
  <w:style w:type="paragraph" w:customStyle="1" w:styleId="40">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楷体_GB2312"/>
      <w:kern w:val="0"/>
      <w:sz w:val="24"/>
      <w:szCs w:val="24"/>
    </w:rPr>
  </w:style>
  <w:style w:type="paragraph" w:customStyle="1" w:styleId="4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楷体_GB2312"/>
      <w:kern w:val="0"/>
      <w:sz w:val="24"/>
      <w:szCs w:val="24"/>
    </w:rPr>
  </w:style>
  <w:style w:type="paragraph" w:customStyle="1" w:styleId="42">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sz w:val="24"/>
      <w:szCs w:val="24"/>
    </w:rPr>
  </w:style>
  <w:style w:type="paragraph" w:customStyle="1" w:styleId="43">
    <w:name w:val="Char1 Char Char Char"/>
    <w:basedOn w:val="1"/>
    <w:qFormat/>
    <w:uiPriority w:val="0"/>
    <w:rPr>
      <w:rFonts w:ascii="Arial" w:hAnsi="Arial" w:cs="Arial"/>
      <w:sz w:val="20"/>
    </w:rPr>
  </w:style>
  <w:style w:type="paragraph" w:customStyle="1" w:styleId="44">
    <w:name w:val="Char1 Char Char Char1"/>
    <w:basedOn w:val="1"/>
    <w:qFormat/>
    <w:uiPriority w:val="0"/>
    <w:rPr>
      <w:rFonts w:ascii="Arial" w:hAnsi="Arial" w:cs="Arial"/>
      <w:sz w:val="20"/>
    </w:rPr>
  </w:style>
  <w:style w:type="paragraph" w:customStyle="1" w:styleId="45">
    <w:name w:val="Char Char Char1 Char Char Char"/>
    <w:basedOn w:val="1"/>
    <w:qFormat/>
    <w:uiPriority w:val="0"/>
    <w:pPr>
      <w:tabs>
        <w:tab w:val="left" w:pos="360"/>
      </w:tabs>
    </w:pPr>
    <w:rPr>
      <w:sz w:val="24"/>
      <w:szCs w:val="24"/>
    </w:rPr>
  </w:style>
  <w:style w:type="paragraph" w:customStyle="1" w:styleId="46">
    <w:name w:val="Char Char Char1 Char Char"/>
    <w:basedOn w:val="1"/>
    <w:qFormat/>
    <w:uiPriority w:val="0"/>
    <w:pPr>
      <w:tabs>
        <w:tab w:val="left" w:pos="360"/>
      </w:tabs>
    </w:pPr>
    <w:rPr>
      <w:sz w:val="24"/>
      <w:szCs w:val="24"/>
    </w:rPr>
  </w:style>
  <w:style w:type="character" w:customStyle="1" w:styleId="47">
    <w:name w:val="纯文本 Char"/>
    <w:basedOn w:val="28"/>
    <w:link w:val="11"/>
    <w:qFormat/>
    <w:uiPriority w:val="0"/>
    <w:rPr>
      <w:rFonts w:ascii="宋体" w:hAnsi="Courier New" w:eastAsia="宋体"/>
      <w:kern w:val="2"/>
      <w:sz w:val="21"/>
      <w:lang w:val="en-US" w:eastAsia="zh-CN" w:bidi="ar-SA"/>
    </w:rPr>
  </w:style>
  <w:style w:type="character" w:customStyle="1" w:styleId="48">
    <w:name w:val="批注框文本 Char"/>
    <w:basedOn w:val="28"/>
    <w:link w:val="15"/>
    <w:qFormat/>
    <w:uiPriority w:val="0"/>
    <w:rPr>
      <w:kern w:val="2"/>
      <w:sz w:val="18"/>
      <w:szCs w:val="18"/>
    </w:rPr>
  </w:style>
  <w:style w:type="character" w:customStyle="1" w:styleId="49">
    <w:name w:val="批注文字 Char"/>
    <w:basedOn w:val="28"/>
    <w:link w:val="7"/>
    <w:qFormat/>
    <w:uiPriority w:val="0"/>
    <w:rPr>
      <w:kern w:val="2"/>
      <w:sz w:val="21"/>
    </w:rPr>
  </w:style>
  <w:style w:type="character" w:customStyle="1" w:styleId="50">
    <w:name w:val="批注主题 Char"/>
    <w:basedOn w:val="49"/>
    <w:link w:val="25"/>
    <w:qFormat/>
    <w:uiPriority w:val="0"/>
    <w:rPr>
      <w:b/>
      <w:bCs/>
      <w:kern w:val="2"/>
      <w:sz w:val="21"/>
    </w:rPr>
  </w:style>
  <w:style w:type="character" w:customStyle="1" w:styleId="51">
    <w:name w:val="标题 Char"/>
    <w:basedOn w:val="28"/>
    <w:link w:val="24"/>
    <w:qFormat/>
    <w:uiPriority w:val="0"/>
    <w:rPr>
      <w:rFonts w:ascii="Cambria" w:hAnsi="Cambria" w:cs="Times New Roman"/>
      <w:b/>
      <w:bCs/>
      <w:kern w:val="2"/>
      <w:sz w:val="32"/>
      <w:szCs w:val="32"/>
    </w:rPr>
  </w:style>
  <w:style w:type="character" w:customStyle="1" w:styleId="52">
    <w:name w:val="脚注文本 Char"/>
    <w:basedOn w:val="28"/>
    <w:link w:val="20"/>
    <w:qFormat/>
    <w:uiPriority w:val="0"/>
    <w:rPr>
      <w:kern w:val="2"/>
      <w:sz w:val="18"/>
      <w:szCs w:val="18"/>
    </w:rPr>
  </w:style>
  <w:style w:type="character" w:customStyle="1" w:styleId="53">
    <w:name w:val="尾注文本 Char"/>
    <w:basedOn w:val="28"/>
    <w:link w:val="14"/>
    <w:qFormat/>
    <w:uiPriority w:val="0"/>
    <w:rPr>
      <w:kern w:val="2"/>
      <w:sz w:val="21"/>
    </w:rPr>
  </w:style>
  <w:style w:type="character" w:customStyle="1" w:styleId="54">
    <w:name w:val="fontstyle01"/>
    <w:basedOn w:val="28"/>
    <w:qFormat/>
    <w:uiPriority w:val="0"/>
    <w:rPr>
      <w:rFonts w:hint="eastAsia" w:ascii="宋体" w:hAnsi="宋体" w:eastAsia="宋体"/>
      <w:color w:val="000000"/>
      <w:sz w:val="38"/>
      <w:szCs w:val="38"/>
    </w:rPr>
  </w:style>
  <w:style w:type="character" w:customStyle="1" w:styleId="55">
    <w:name w:val="fontstyle11"/>
    <w:basedOn w:val="28"/>
    <w:qFormat/>
    <w:uiPriority w:val="0"/>
    <w:rPr>
      <w:rFonts w:hint="eastAsia" w:ascii="黑体" w:hAnsi="黑体" w:eastAsia="黑体"/>
      <w:color w:val="000000"/>
      <w:sz w:val="24"/>
      <w:szCs w:val="24"/>
    </w:rPr>
  </w:style>
  <w:style w:type="character" w:customStyle="1" w:styleId="56">
    <w:name w:val="标题1"/>
    <w:basedOn w:val="28"/>
    <w:qFormat/>
    <w:uiPriority w:val="0"/>
  </w:style>
  <w:style w:type="character" w:customStyle="1" w:styleId="57">
    <w:name w:val="页眉 Char"/>
    <w:link w:val="17"/>
    <w:qFormat/>
    <w:locked/>
    <w:uiPriority w:val="0"/>
    <w:rPr>
      <w:rFonts w:ascii="Times New Roman" w:hAnsi="Times New Roman"/>
      <w:kern w:val="2"/>
      <w:sz w:val="18"/>
    </w:rPr>
  </w:style>
  <w:style w:type="paragraph" w:styleId="58">
    <w:name w:val="List Paragraph"/>
    <w:basedOn w:val="1"/>
    <w:unhideWhenUsed/>
    <w:qFormat/>
    <w:uiPriority w:val="99"/>
    <w:pPr>
      <w:ind w:firstLine="420" w:firstLineChars="200"/>
    </w:pPr>
  </w:style>
  <w:style w:type="paragraph" w:customStyle="1" w:styleId="59">
    <w:name w:val="Table Paragraph"/>
    <w:basedOn w:val="1"/>
    <w:qFormat/>
    <w:uiPriority w:val="1"/>
    <w:rPr>
      <w:rFonts w:ascii="宋体" w:hAnsi="宋体" w:cs="宋体"/>
      <w:lang w:val="zh-CN" w:bidi="zh-CN"/>
    </w:rPr>
  </w:style>
  <w:style w:type="character" w:customStyle="1" w:styleId="60">
    <w:name w:val="HTML 预设格式 Char"/>
    <w:basedOn w:val="28"/>
    <w:link w:val="22"/>
    <w:qFormat/>
    <w:uiPriority w:val="99"/>
    <w:rPr>
      <w:rFonts w:ascii="宋体" w:hAnsi="宋体" w:cs="宋体"/>
      <w:sz w:val="24"/>
      <w:szCs w:val="24"/>
    </w:rPr>
  </w:style>
  <w:style w:type="character" w:customStyle="1" w:styleId="61">
    <w:name w:val="正文文本 3 Char"/>
    <w:basedOn w:val="28"/>
    <w:link w:val="8"/>
    <w:semiHidden/>
    <w:qFormat/>
    <w:uiPriority w:val="0"/>
    <w:rPr>
      <w:kern w:val="2"/>
      <w:sz w:val="16"/>
      <w:szCs w:val="16"/>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18</Pages>
  <Words>8369</Words>
  <Characters>9684</Characters>
  <Lines>30</Lines>
  <Paragraphs>8</Paragraphs>
  <TotalTime>185</TotalTime>
  <ScaleCrop>false</ScaleCrop>
  <LinksUpToDate>false</LinksUpToDate>
  <CharactersWithSpaces>10122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2025-04-16T07:13:00Z</dcterms:created>
  <dc:creator>微软正版用户</dc:creator>
  <cp:lastModifiedBy>刘睿</cp:lastModifiedBy>
  <cp:lastPrinted>2025-04-21T00:45:00Z</cp:lastPrinted>
  <dcterms:modified xsi:type="dcterms:W3CDTF">2025-07-18T07:59:22Z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eyJoZGlkIjoiODA5YTI1YjJmZjE2YWIzMGJjMDUxZjhjZDk0MGJkMWQiLCJ1c2VySWQiOiIxNjU1MzQ1OTExIn0=</vt:lpwstr>
  </property>
  <property fmtid="{D5CDD505-2E9C-101B-9397-08002B2CF9AE}" pid="4" name="ICV">
    <vt:lpwstr>668E59A3801A4983A3A56C2BFF4498B8_12</vt:lpwstr>
  </property>
</Properties>
</file>